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B8DE" w14:textId="386B6BDD" w:rsidR="007647E0" w:rsidRPr="007647E0" w:rsidRDefault="007647E0" w:rsidP="007647E0">
      <w:pPr>
        <w:rPr>
          <w:b/>
          <w:bCs/>
        </w:rPr>
      </w:pPr>
      <w:r w:rsidRPr="007647E0">
        <w:rPr>
          <w:b/>
          <w:bCs/>
        </w:rPr>
        <w:t>Financiële risicoanalyse</w:t>
      </w:r>
      <w:r w:rsidR="001C4104">
        <w:rPr>
          <w:b/>
          <w:bCs/>
        </w:rPr>
        <w:t xml:space="preserve"> VermogenThuis </w:t>
      </w:r>
    </w:p>
    <w:p w14:paraId="0D6DF42B" w14:textId="77777777" w:rsidR="007647E0" w:rsidRPr="007647E0" w:rsidRDefault="007647E0" w:rsidP="007647E0">
      <w:pPr>
        <w:rPr>
          <w:b/>
          <w:bCs/>
        </w:rPr>
      </w:pPr>
      <w:r w:rsidRPr="007647E0">
        <w:rPr>
          <w:b/>
          <w:bCs/>
        </w:rPr>
        <w:t>Omzetrisico</w:t>
      </w:r>
    </w:p>
    <w:p w14:paraId="4E3CCF17" w14:textId="77777777" w:rsidR="007647E0" w:rsidRPr="007647E0" w:rsidRDefault="007647E0" w:rsidP="007647E0">
      <w:r w:rsidRPr="007647E0">
        <w:t>Een belangrijk financieel risico binnen het verdienmodel is het omzetrisico. De inkomsten van het financieel advieskantoor zijn afhankelijk van het aantal hypotheek- en beleggingsadviestrajecten dat jaarlijks wordt uitgevoerd. Deze vraag is sterk afhankelijk van economische ontwikkelingen, renteveranderingen en het vertrouwen van consumenten. In perioden van economische onzekerheid of bij stijgende rentes stellen huishoudens grote financiële beslissingen vaker uit, wat kan leiden tot een afname van het aantal adviesopdrachten en daarmee tot lagere inkomsten. Het Centraal Bureau voor de Statistiek geeft aan dat economische schommelingen en renteontwikkelingen direct van invloed zijn op de woningmarkt en het financiële gedrag van huishoudens (CBS, 2024).</w:t>
      </w:r>
    </w:p>
    <w:p w14:paraId="0DE18B69" w14:textId="77777777" w:rsidR="007647E0" w:rsidRPr="007647E0" w:rsidRDefault="007647E0" w:rsidP="007647E0">
      <w:pPr>
        <w:rPr>
          <w:b/>
          <w:bCs/>
        </w:rPr>
      </w:pPr>
      <w:r w:rsidRPr="007647E0">
        <w:rPr>
          <w:b/>
          <w:bCs/>
        </w:rPr>
        <w:t>Marktrisico</w:t>
      </w:r>
    </w:p>
    <w:p w14:paraId="20ADFDC2" w14:textId="77777777" w:rsidR="007647E0" w:rsidRPr="007647E0" w:rsidRDefault="007647E0" w:rsidP="007647E0">
      <w:r w:rsidRPr="007647E0">
        <w:t>Naast het omzetrisico is sprake van marktrisico. Ontwikkelingen op de woningmarkt en financiële markten hebben invloed op zowel hypotheekaanvragen als het belegd vermogen van klanten. In tijden van marktvolatiliteit of economische neergang neemt de risicomijdendheid van consumenten toe, waardoor zij minder snel investeren of advies inwinnen. De Nederlandsche Bank benadrukt dat economische onzekerheid en marktontwikkelingen een remmend effect hebben op investeringen van huishoudens, wat directe gevolgen kan hebben voor de vraag naar financieel advies (DNB, 2023).</w:t>
      </w:r>
    </w:p>
    <w:p w14:paraId="4DECC14F" w14:textId="77777777" w:rsidR="007647E0" w:rsidRPr="007647E0" w:rsidRDefault="007647E0" w:rsidP="007647E0">
      <w:pPr>
        <w:rPr>
          <w:b/>
          <w:bCs/>
        </w:rPr>
      </w:pPr>
      <w:r w:rsidRPr="007647E0">
        <w:rPr>
          <w:b/>
          <w:bCs/>
        </w:rPr>
        <w:t>Liquiditeitsrisico</w:t>
      </w:r>
    </w:p>
    <w:p w14:paraId="0EC0D8A2" w14:textId="77777777" w:rsidR="007647E0" w:rsidRPr="007647E0" w:rsidRDefault="007647E0" w:rsidP="007647E0">
      <w:r w:rsidRPr="007647E0">
        <w:t>Een ander belangrijk financieel risico betreft het liquiditeitsrisico. In de praktijk worden adviesvergoedingen vaak pas ontvangen na afronding van een traject, terwijl vaste kosten zoals software, verzekeringen en overige bedrijfslasten doorlopen. Dit kan leiden tot tijdelijke tekorten aan liquide middelen, ondanks een positief bedrijfsresultaat op langere termijn. De Kamer van Koophandel stelt dat vooral startende dienstverlenende ondernemingen kwetsbaar zijn voor liquiditeitsproblemen door onregelmatige kasstromen (KvK, 2023).</w:t>
      </w:r>
    </w:p>
    <w:p w14:paraId="174365AB" w14:textId="77777777" w:rsidR="007647E0" w:rsidRPr="007647E0" w:rsidRDefault="007647E0" w:rsidP="007647E0">
      <w:pPr>
        <w:rPr>
          <w:b/>
          <w:bCs/>
        </w:rPr>
      </w:pPr>
      <w:r w:rsidRPr="007647E0">
        <w:rPr>
          <w:b/>
          <w:bCs/>
        </w:rPr>
        <w:t>Kosten- en vaste lastenrisico</w:t>
      </w:r>
    </w:p>
    <w:p w14:paraId="0FA0080C" w14:textId="77777777" w:rsidR="007647E0" w:rsidRPr="007647E0" w:rsidRDefault="007647E0" w:rsidP="007647E0">
      <w:r w:rsidRPr="007647E0">
        <w:t>Het kosten- en vaste lastenrisico vormt eveneens een relevant aandachtspunt. Financiële advieskantoren hebben te maken met relatief vaste kosten, waaronder licenties voor advies- en rapportagesoftware, opleidingskosten en huisvesting. Wanneer de omzet lager uitvalt dan verwacht, drukken deze vaste kosten relatief zwaar op het resultaat. Volgens het CBS vormen vaste bedrijfskosten een verhoogd risico voor kleine ondernemingen, met name in de opstartfase, omdat deze kosten minder flexibel zijn en niet eenvoudig meebewegen met omzetontwikkelingen (CBS, 2024).</w:t>
      </w:r>
    </w:p>
    <w:p w14:paraId="09616D4F" w14:textId="77777777" w:rsidR="007647E0" w:rsidRPr="007647E0" w:rsidRDefault="007647E0" w:rsidP="007647E0">
      <w:pPr>
        <w:rPr>
          <w:b/>
          <w:bCs/>
        </w:rPr>
      </w:pPr>
      <w:r w:rsidRPr="007647E0">
        <w:rPr>
          <w:b/>
          <w:bCs/>
        </w:rPr>
        <w:t>Regelgevings- en compliance-risico</w:t>
      </w:r>
    </w:p>
    <w:p w14:paraId="79AB24F8" w14:textId="77777777" w:rsidR="007647E0" w:rsidRPr="007647E0" w:rsidRDefault="007647E0" w:rsidP="007647E0">
      <w:r w:rsidRPr="007647E0">
        <w:t>De financiële adviessector is sterk gereguleerd, wat leidt tot een regulerings- en compliance-risico. Wet- en regelgeving, zoals het provisieverbod, brengt aanvullende administratieve verplichtingen en kosten met zich mee. Daarnaast kunnen wijzigingen in regelgeving leiden tot extra investeringen in opleidingen en systemen. De Autoriteit Financiële Markten benadrukt dat het niet naleven van wet- en regelgeving kan resulteren in financiële sancties en reputatieschade, wat directe invloed heeft op de financiële positie van een advieskantoor (AFM, z.d.).</w:t>
      </w:r>
    </w:p>
    <w:p w14:paraId="35B643EB" w14:textId="77777777" w:rsidR="007647E0" w:rsidRPr="007647E0" w:rsidRDefault="007647E0" w:rsidP="007647E0">
      <w:pPr>
        <w:rPr>
          <w:b/>
          <w:bCs/>
        </w:rPr>
      </w:pPr>
      <w:r w:rsidRPr="007647E0">
        <w:rPr>
          <w:b/>
          <w:bCs/>
        </w:rPr>
        <w:t>Ondernemers- en continuïteitsrisico</w:t>
      </w:r>
    </w:p>
    <w:p w14:paraId="2C5851BC" w14:textId="77777777" w:rsidR="007647E0" w:rsidRPr="007647E0" w:rsidRDefault="007647E0" w:rsidP="007647E0">
      <w:r w:rsidRPr="007647E0">
        <w:t>Tot slot is er sprake van een ondernemers- en continuïteitsrisico. Het advieskantoor is in sterke mate afhankelijk van de inzet en beschikbaarheid van de eigenaren. Uitval door ziekte of andere omstandigheden kan leiden tot omzetverlies en verstoring van de bedrijfsvoering. De Kamer van Koophandel geeft aan dat afhankelijkheid van de ondernemer een veelvoorkomend risico is bij kleine ondernemingen en een bedreiging kan vormen voor de continuïteit van het bedrijf (KvK, 2023).</w:t>
      </w:r>
    </w:p>
    <w:p w14:paraId="53445816" w14:textId="77777777" w:rsidR="007647E0" w:rsidRPr="007647E0" w:rsidRDefault="007647E0" w:rsidP="007647E0">
      <w:pPr>
        <w:rPr>
          <w:b/>
          <w:bCs/>
        </w:rPr>
      </w:pPr>
      <w:r w:rsidRPr="007647E0">
        <w:rPr>
          <w:b/>
          <w:bCs/>
        </w:rPr>
        <w:t>Conclusie</w:t>
      </w:r>
    </w:p>
    <w:p w14:paraId="7FF42612" w14:textId="77777777" w:rsidR="007647E0" w:rsidRPr="007647E0" w:rsidRDefault="007647E0" w:rsidP="007647E0">
      <w:r w:rsidRPr="007647E0">
        <w:t>De financiële risico’s die samenhangen met het verdienmodel zijn kenmerkend voor startende financiële advieskantoren. Door rekening te houden met economische schommelingen, marktrisico’s, liquiditeitsbeheer, kostenbeheersing en regelgeving kunnen deze risico’s echter beheersbaar worden gemaakt. Een realistische en onderbouwde risicoanalyse draagt bij aan een duurzaam en toekomstbestendig verdienmodel.</w:t>
      </w:r>
    </w:p>
    <w:p w14:paraId="7B5CAEB5" w14:textId="00CAA4E1" w:rsidR="00180F7C" w:rsidRDefault="00180F7C"/>
    <w:p w14:paraId="75BC1424" w14:textId="77777777" w:rsidR="00FE7D33" w:rsidRDefault="00FE7D33"/>
    <w:p w14:paraId="5F03D137" w14:textId="77777777" w:rsidR="00FE7D33" w:rsidRDefault="00FE7D33"/>
    <w:p w14:paraId="6FF5C227" w14:textId="77777777" w:rsidR="00FE7D33" w:rsidRDefault="00FE7D33"/>
    <w:p w14:paraId="5294BF4C" w14:textId="77777777" w:rsidR="00FE7D33" w:rsidRDefault="00FE7D33"/>
    <w:p w14:paraId="342ED44E" w14:textId="77777777" w:rsidR="00FE7D33" w:rsidRDefault="00FE7D33"/>
    <w:p w14:paraId="4CED9B19" w14:textId="77777777" w:rsidR="00FE7D33" w:rsidRDefault="00FE7D33"/>
    <w:p w14:paraId="60A2196D" w14:textId="77777777" w:rsidR="00FE7D33" w:rsidRDefault="00FE7D33"/>
    <w:p w14:paraId="7FD906E9" w14:textId="77777777" w:rsidR="00FE7D33" w:rsidRDefault="00FE7D33"/>
    <w:p w14:paraId="2E6F9FC8" w14:textId="77777777" w:rsidR="00FE7D33" w:rsidRDefault="00FE7D33"/>
    <w:p w14:paraId="2F8B2DE9" w14:textId="77777777" w:rsidR="00FE7D33" w:rsidRDefault="00FE7D33"/>
    <w:p w14:paraId="083E9666" w14:textId="47CDF24D" w:rsidR="00FE7D33" w:rsidRPr="00FE7D33" w:rsidRDefault="00FE7D33">
      <w:pPr>
        <w:rPr>
          <w:b/>
          <w:bCs/>
        </w:rPr>
      </w:pPr>
      <w:r w:rsidRPr="00FE7D33">
        <w:rPr>
          <w:b/>
          <w:bCs/>
        </w:rPr>
        <w:t xml:space="preserve">Bronnen </w:t>
      </w:r>
    </w:p>
    <w:p w14:paraId="1BF07FDB" w14:textId="77777777" w:rsidR="00FE7D33" w:rsidRDefault="00FE7D33" w:rsidP="00FE7D33">
      <w:r>
        <w:t>Autoriteit Financiële Markten. (z.d.). Toezicht op financieel advies en provisieverbod.</w:t>
      </w:r>
    </w:p>
    <w:p w14:paraId="7A177C82" w14:textId="12D60882" w:rsidR="00FE7D33" w:rsidRDefault="00FE7D33" w:rsidP="00FE7D33">
      <w:r>
        <w:t xml:space="preserve">Geraadpleegd op 3 januari 2026, van </w:t>
      </w:r>
      <w:hyperlink r:id="rId4" w:history="1">
        <w:r w:rsidRPr="0060619F">
          <w:rPr>
            <w:rStyle w:val="Hyperlink"/>
          </w:rPr>
          <w:t>https://www.afm.nl</w:t>
        </w:r>
      </w:hyperlink>
      <w:r>
        <w:t xml:space="preserve"> </w:t>
      </w:r>
    </w:p>
    <w:p w14:paraId="72108507" w14:textId="77777777" w:rsidR="00FE7D33" w:rsidRDefault="00FE7D33" w:rsidP="00FE7D33">
      <w:r>
        <w:t>Centraal Bureau voor de Statistiek. (2024). Economische ontwikkelingen en</w:t>
      </w:r>
    </w:p>
    <w:p w14:paraId="7ECC5CD8" w14:textId="77777777" w:rsidR="00FE7D33" w:rsidRDefault="00FE7D33" w:rsidP="00FE7D33">
      <w:r>
        <w:t>ondernemingsrisico’s.</w:t>
      </w:r>
    </w:p>
    <w:p w14:paraId="46B71419" w14:textId="6C3E0B10" w:rsidR="00FE7D33" w:rsidRDefault="00FE7D33" w:rsidP="00FE7D33">
      <w:r>
        <w:t xml:space="preserve">Geraadpleegd op 3 januari 2026, van </w:t>
      </w:r>
      <w:hyperlink r:id="rId5" w:history="1">
        <w:r w:rsidRPr="0060619F">
          <w:rPr>
            <w:rStyle w:val="Hyperlink"/>
          </w:rPr>
          <w:t>https://www.cbs.nl</w:t>
        </w:r>
      </w:hyperlink>
      <w:r>
        <w:t xml:space="preserve"> </w:t>
      </w:r>
    </w:p>
    <w:p w14:paraId="788ACFA8" w14:textId="77777777" w:rsidR="00FE7D33" w:rsidRDefault="00FE7D33" w:rsidP="00FE7D33">
      <w:r>
        <w:t>De Nederlandsche Bank. (2023). Economische vooruitzichten en financiële stabiliteit.</w:t>
      </w:r>
    </w:p>
    <w:p w14:paraId="3312D3E3" w14:textId="0C7A83DD" w:rsidR="00FE7D33" w:rsidRDefault="00FE7D33" w:rsidP="00FE7D33">
      <w:r>
        <w:t xml:space="preserve">Geraadpleegd op 3 januari 2026, van </w:t>
      </w:r>
      <w:hyperlink r:id="rId6" w:history="1">
        <w:r w:rsidRPr="0060619F">
          <w:rPr>
            <w:rStyle w:val="Hyperlink"/>
          </w:rPr>
          <w:t>https://www.dnb.nl</w:t>
        </w:r>
      </w:hyperlink>
      <w:r>
        <w:t xml:space="preserve">  </w:t>
      </w:r>
    </w:p>
    <w:p w14:paraId="74578155" w14:textId="77777777" w:rsidR="00FE7D33" w:rsidRDefault="00FE7D33" w:rsidP="00FE7D33">
      <w:r>
        <w:t>Kamer van Koophandel. (2023). Financiële risico’s voor startende ondernemers.</w:t>
      </w:r>
    </w:p>
    <w:p w14:paraId="321FD5E4" w14:textId="4C32ED2A" w:rsidR="00180F7C" w:rsidRDefault="00FE7D33">
      <w:r>
        <w:t xml:space="preserve">Geraadpleegd op 3 januari 2026, van </w:t>
      </w:r>
      <w:hyperlink r:id="rId7" w:history="1">
        <w:r w:rsidRPr="0060619F">
          <w:rPr>
            <w:rStyle w:val="Hyperlink"/>
          </w:rPr>
          <w:t>https://www.kvk.nl</w:t>
        </w:r>
      </w:hyperlink>
      <w:r>
        <w:t xml:space="preserve"> </w:t>
      </w:r>
    </w:p>
    <w:sectPr w:rsidR="00180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EC42F8"/>
    <w:rsid w:val="00003564"/>
    <w:rsid w:val="00180F7C"/>
    <w:rsid w:val="001C4104"/>
    <w:rsid w:val="002E0DBD"/>
    <w:rsid w:val="003E5A31"/>
    <w:rsid w:val="006D636D"/>
    <w:rsid w:val="007647E0"/>
    <w:rsid w:val="00AF689B"/>
    <w:rsid w:val="00C33409"/>
    <w:rsid w:val="00FE7D33"/>
    <w:rsid w:val="4FEC42F8"/>
    <w:rsid w:val="6BEDD3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FEC42F8"/>
  <w15:chartTrackingRefBased/>
  <w15:docId w15:val="{59DE8487-8E98-4EB5-9927-834EAB76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BEDD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BEDD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564"/>
    <w:rPr>
      <w:color w:val="467886" w:themeColor="hyperlink"/>
      <w:u w:val="single"/>
    </w:rPr>
  </w:style>
  <w:style w:type="character" w:styleId="UnresolvedMention">
    <w:name w:val="Unresolved Mention"/>
    <w:basedOn w:val="DefaultParagraphFont"/>
    <w:uiPriority w:val="99"/>
    <w:semiHidden/>
    <w:unhideWhenUsed/>
    <w:rsid w:val="00003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vk.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nb.nl" TargetMode="External"/><Relationship Id="rId5" Type="http://schemas.openxmlformats.org/officeDocument/2006/relationships/hyperlink" Target="https://www.cbs.nl" TargetMode="External"/><Relationship Id="rId4" Type="http://schemas.openxmlformats.org/officeDocument/2006/relationships/hyperlink" Target="https://www.afm.n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Munster, Quinn van</dc:creator>
  <cp:keywords/>
  <dc:description/>
  <cp:lastModifiedBy>Munster, Quinn van</cp:lastModifiedBy>
  <cp:revision>1</cp:revision>
  <dcterms:created xsi:type="dcterms:W3CDTF">2026-01-03T16:30:00Z</dcterms:created>
  <dcterms:modified xsi:type="dcterms:W3CDTF">2026-01-03T16:38:00Z</dcterms:modified>
</cp:coreProperties>
</file>