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76E0" w14:textId="31049048" w:rsidR="00FA55E4" w:rsidRDefault="000B5F58" w:rsidP="000B5F58">
      <w:pPr>
        <w:pStyle w:val="Title"/>
        <w:jc w:val="center"/>
      </w:pPr>
      <w:r w:rsidRPr="000B5F58">
        <w:t xml:space="preserve">Analyse en Selectie van Duurzame Wereldwijde Beleggingsfondsen voor </w:t>
      </w:r>
      <w:proofErr w:type="spellStart"/>
      <w:r w:rsidRPr="000B5F58">
        <w:t>Vermogen</w:t>
      </w:r>
      <w:r>
        <w:t>T</w:t>
      </w:r>
      <w:r w:rsidRPr="000B5F58">
        <w:t>huis</w:t>
      </w:r>
      <w:proofErr w:type="spellEnd"/>
    </w:p>
    <w:p w14:paraId="3FCC3037" w14:textId="7A041E37" w:rsidR="000B5F58" w:rsidRDefault="000B5F58" w:rsidP="000B5F58">
      <w:pPr>
        <w:pStyle w:val="Subtitle"/>
        <w:jc w:val="center"/>
      </w:pPr>
      <w:r>
        <w:br/>
      </w:r>
      <w:r>
        <w:br/>
      </w:r>
      <w:r>
        <w:br/>
      </w:r>
      <w:r w:rsidR="00056B98">
        <w:rPr>
          <w:noProof/>
        </w:rPr>
        <w:drawing>
          <wp:inline distT="0" distB="0" distL="0" distR="0" wp14:anchorId="18ADE9F1" wp14:editId="0106B136">
            <wp:extent cx="5724525" cy="3124200"/>
            <wp:effectExtent l="0" t="0" r="9525" b="0"/>
            <wp:docPr id="11596481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3124200"/>
                    </a:xfrm>
                    <a:prstGeom prst="rect">
                      <a:avLst/>
                    </a:prstGeom>
                    <a:noFill/>
                    <a:ln>
                      <a:noFill/>
                    </a:ln>
                  </pic:spPr>
                </pic:pic>
              </a:graphicData>
            </a:graphic>
          </wp:inline>
        </w:drawing>
      </w:r>
    </w:p>
    <w:p w14:paraId="042CCBE2" w14:textId="77777777" w:rsidR="00E2516E" w:rsidRDefault="00E2516E" w:rsidP="00E2516E"/>
    <w:p w14:paraId="31258061" w14:textId="77777777" w:rsidR="00E2516E" w:rsidRDefault="00E2516E" w:rsidP="00E2516E"/>
    <w:p w14:paraId="4AFF63EE" w14:textId="77777777" w:rsidR="00E2516E" w:rsidRDefault="00E2516E" w:rsidP="00E2516E"/>
    <w:p w14:paraId="78F50146" w14:textId="77777777" w:rsidR="00E2516E" w:rsidRDefault="00E2516E" w:rsidP="00E2516E"/>
    <w:p w14:paraId="071CF8C6" w14:textId="77777777" w:rsidR="00E2516E" w:rsidRDefault="00E2516E" w:rsidP="00E2516E"/>
    <w:p w14:paraId="44CABE72" w14:textId="77777777" w:rsidR="00E2516E" w:rsidRDefault="00E2516E" w:rsidP="00E2516E"/>
    <w:p w14:paraId="57F166C9" w14:textId="77777777" w:rsidR="00E2516E" w:rsidRDefault="00E2516E" w:rsidP="00E2516E"/>
    <w:p w14:paraId="3D594A97" w14:textId="77777777" w:rsidR="00E2516E" w:rsidRDefault="00E2516E" w:rsidP="00E2516E"/>
    <w:p w14:paraId="059F4477" w14:textId="77777777" w:rsidR="00E2516E" w:rsidRDefault="00E2516E" w:rsidP="00E2516E"/>
    <w:p w14:paraId="36E3D21E" w14:textId="77777777" w:rsidR="00E2516E" w:rsidRDefault="00E2516E" w:rsidP="00E2516E"/>
    <w:p w14:paraId="7D72B2B0" w14:textId="77777777" w:rsidR="00E2516E" w:rsidRDefault="00E2516E" w:rsidP="00E2516E"/>
    <w:p w14:paraId="4CEF439D" w14:textId="77777777" w:rsidR="00E2516E" w:rsidRDefault="00E2516E" w:rsidP="00E2516E"/>
    <w:p w14:paraId="6A255972" w14:textId="11BA18F7" w:rsidR="00E2516E" w:rsidRPr="00E2516E" w:rsidRDefault="00E2516E" w:rsidP="00E2516E">
      <w:pPr>
        <w:pStyle w:val="Heading1"/>
      </w:pPr>
      <w:bookmarkStart w:id="0" w:name="_Toc218449539"/>
      <w:r>
        <w:t>Algemene inleiding</w:t>
      </w:r>
      <w:bookmarkEnd w:id="0"/>
    </w:p>
    <w:p w14:paraId="59EA917B" w14:textId="77777777" w:rsidR="00F5733B" w:rsidRPr="00F5733B" w:rsidRDefault="00F5733B" w:rsidP="00F5733B">
      <w:proofErr w:type="spellStart"/>
      <w:r w:rsidRPr="00F5733B">
        <w:t>VermogenThuis</w:t>
      </w:r>
      <w:proofErr w:type="spellEnd"/>
      <w:r w:rsidRPr="00F5733B">
        <w:t xml:space="preserve"> biedt duurzaam, transparant en fiscaal doordacht beleggingsadvies aan particuliere beleggers en ondernemers. Omdat veel van onze klanten zich rond of boven de box-3-grens bevinden, ligt onze focus op verantwoord vermogensbeheer dat zowel financieel solide is als aansluit bij een duurzame beleggingsfilosofie.</w:t>
      </w:r>
    </w:p>
    <w:p w14:paraId="16DBFE4B" w14:textId="77777777" w:rsidR="00F5733B" w:rsidRPr="00F5733B" w:rsidRDefault="00F5733B" w:rsidP="00F5733B">
      <w:r w:rsidRPr="00F5733B">
        <w:t xml:space="preserve">Om ons fondsaanbod zorgvuldig vorm te geven is een analyse uitgevoerd naar geschikte vermogensbeheerders en duurzame beleggingsfondsen. Hierbij is gekeken naar de mate waarin deze aanbieders voldoen aan hoge standaarden op het gebied van verantwoord beleggen, </w:t>
      </w:r>
      <w:proofErr w:type="spellStart"/>
      <w:r w:rsidRPr="00F5733B">
        <w:t>governance</w:t>
      </w:r>
      <w:proofErr w:type="spellEnd"/>
      <w:r w:rsidRPr="00F5733B">
        <w:t xml:space="preserve"> en transparantie.</w:t>
      </w:r>
    </w:p>
    <w:p w14:paraId="10B73839" w14:textId="77777777" w:rsidR="00F5733B" w:rsidRPr="00F5733B" w:rsidRDefault="00F5733B" w:rsidP="00F5733B">
      <w:r w:rsidRPr="00F5733B">
        <w:t xml:space="preserve">In het eerste deel worden vier vermogensbeheerders beoordeeld op drie hoofdcriteria: duurzaamheidsbeleid, </w:t>
      </w:r>
      <w:proofErr w:type="spellStart"/>
      <w:r w:rsidRPr="00F5733B">
        <w:t>governance</w:t>
      </w:r>
      <w:proofErr w:type="spellEnd"/>
      <w:r w:rsidRPr="00F5733B">
        <w:t xml:space="preserve"> en reputatierisico’s. Iedere beheerder krijgt een objectieve score en een gewogen eindbeoordeling, waardoor inzichtelijk wordt welke partijen het beste aansluiten bij de waarden van </w:t>
      </w:r>
      <w:proofErr w:type="spellStart"/>
      <w:r w:rsidRPr="00F5733B">
        <w:t>VermogenThuis</w:t>
      </w:r>
      <w:proofErr w:type="spellEnd"/>
      <w:r w:rsidRPr="00F5733B">
        <w:t>.</w:t>
      </w:r>
    </w:p>
    <w:p w14:paraId="5FF4A64A" w14:textId="77777777" w:rsidR="00F5733B" w:rsidRPr="00F5733B" w:rsidRDefault="00F5733B" w:rsidP="00F5733B">
      <w:r w:rsidRPr="00F5733B">
        <w:t>In het tweede deel worden de beschikbare beleggingsfondsen van de geselecteerde aanbieders vergeleken. Hierbij is gekeken naar zowel financiële kenmerken (strategie, risico/rendement en kosten) als duurzaamheidsaspecten (beleid, klimaatrisico’s en klantcommunicatie). Op basis hiervan selecteren we een wereldwijd aandelenfonds, een wereldwijd obligatiefonds en twee aanvullende duurzame thema- of impactfondsen.</w:t>
      </w:r>
    </w:p>
    <w:p w14:paraId="479C5EF1" w14:textId="77777777" w:rsidR="00F5733B" w:rsidRPr="00F5733B" w:rsidRDefault="00F5733B" w:rsidP="00F5733B">
      <w:r w:rsidRPr="00F5733B">
        <w:t xml:space="preserve">Deze analyse vormt de onderbouwde basis voor het duurzame fondsaanbod van </w:t>
      </w:r>
      <w:proofErr w:type="spellStart"/>
      <w:r w:rsidRPr="00F5733B">
        <w:t>VermogenThuis</w:t>
      </w:r>
      <w:proofErr w:type="spellEnd"/>
      <w:r w:rsidRPr="00F5733B">
        <w:t xml:space="preserve"> en garandeert dat de geselecteerde producten passen binnen onze visie op verantwoord en toekomstbestendig beleggen.</w:t>
      </w:r>
    </w:p>
    <w:p w14:paraId="010379A5" w14:textId="77777777" w:rsidR="00FA55E4" w:rsidRDefault="00FA55E4" w:rsidP="00B47B45">
      <w:pPr>
        <w:rPr>
          <w:b/>
          <w:bCs/>
        </w:rPr>
      </w:pPr>
    </w:p>
    <w:p w14:paraId="274907B0" w14:textId="77777777" w:rsidR="00FA55E4" w:rsidRDefault="00FA55E4" w:rsidP="00B47B45">
      <w:pPr>
        <w:rPr>
          <w:b/>
          <w:bCs/>
        </w:rPr>
      </w:pPr>
    </w:p>
    <w:p w14:paraId="41B60DC4" w14:textId="77777777" w:rsidR="00FA55E4" w:rsidRDefault="00FA55E4" w:rsidP="00B47B45">
      <w:pPr>
        <w:rPr>
          <w:b/>
          <w:bCs/>
        </w:rPr>
      </w:pPr>
    </w:p>
    <w:p w14:paraId="6E873722" w14:textId="77777777" w:rsidR="00FA55E4" w:rsidRDefault="00FA55E4" w:rsidP="00B47B45">
      <w:pPr>
        <w:rPr>
          <w:b/>
          <w:bCs/>
        </w:rPr>
      </w:pPr>
    </w:p>
    <w:p w14:paraId="44019A9E" w14:textId="77777777" w:rsidR="00FA55E4" w:rsidRDefault="00FA55E4" w:rsidP="00B47B45">
      <w:pPr>
        <w:rPr>
          <w:b/>
          <w:bCs/>
        </w:rPr>
      </w:pPr>
    </w:p>
    <w:p w14:paraId="5CEE8F9E" w14:textId="77777777" w:rsidR="00FA55E4" w:rsidRDefault="00FA55E4" w:rsidP="00B47B45">
      <w:pPr>
        <w:rPr>
          <w:b/>
          <w:bCs/>
        </w:rPr>
      </w:pPr>
    </w:p>
    <w:p w14:paraId="2B0FAA4A" w14:textId="77777777" w:rsidR="00FA55E4" w:rsidRDefault="00FA55E4" w:rsidP="00B47B45">
      <w:pPr>
        <w:rPr>
          <w:b/>
          <w:bCs/>
        </w:rPr>
      </w:pPr>
    </w:p>
    <w:p w14:paraId="367452F1" w14:textId="77777777" w:rsidR="00FA55E4" w:rsidRDefault="00FA55E4" w:rsidP="00B47B45">
      <w:pPr>
        <w:rPr>
          <w:b/>
          <w:bCs/>
        </w:rPr>
      </w:pPr>
    </w:p>
    <w:p w14:paraId="0CD8F442" w14:textId="77777777" w:rsidR="00FA55E4" w:rsidRDefault="00FA55E4" w:rsidP="00B47B45">
      <w:pPr>
        <w:rPr>
          <w:b/>
          <w:bCs/>
        </w:rPr>
      </w:pPr>
    </w:p>
    <w:p w14:paraId="1CB131E0" w14:textId="77777777" w:rsidR="00FA55E4" w:rsidRDefault="00FA55E4" w:rsidP="00B47B45">
      <w:pPr>
        <w:rPr>
          <w:b/>
          <w:bCs/>
        </w:rPr>
      </w:pPr>
    </w:p>
    <w:p w14:paraId="4867BC57" w14:textId="77777777" w:rsidR="00FA55E4" w:rsidRDefault="00FA55E4" w:rsidP="00B47B45">
      <w:pPr>
        <w:rPr>
          <w:b/>
          <w:bCs/>
        </w:rPr>
      </w:pPr>
    </w:p>
    <w:sdt>
      <w:sdtPr>
        <w:rPr>
          <w:rFonts w:asciiTheme="minorHAnsi" w:eastAsiaTheme="minorEastAsia" w:hAnsiTheme="minorHAnsi" w:cstheme="minorBidi"/>
          <w:color w:val="auto"/>
          <w:sz w:val="24"/>
          <w:szCs w:val="24"/>
          <w:lang w:eastAsia="en-US"/>
        </w:rPr>
        <w:id w:val="-872146900"/>
        <w:docPartObj>
          <w:docPartGallery w:val="Table of Contents"/>
          <w:docPartUnique/>
        </w:docPartObj>
      </w:sdtPr>
      <w:sdtEndPr>
        <w:rPr>
          <w:b/>
          <w:bCs/>
        </w:rPr>
      </w:sdtEndPr>
      <w:sdtContent>
        <w:p w14:paraId="2D24A6EB" w14:textId="3538FB04" w:rsidR="00003051" w:rsidRPr="0007565F" w:rsidRDefault="00003051">
          <w:pPr>
            <w:pStyle w:val="TOCHeading"/>
            <w:rPr>
              <w:sz w:val="36"/>
              <w:szCs w:val="36"/>
            </w:rPr>
          </w:pPr>
          <w:r w:rsidRPr="0007565F">
            <w:rPr>
              <w:sz w:val="36"/>
              <w:szCs w:val="36"/>
            </w:rPr>
            <w:t>Inhoudsopgave</w:t>
          </w:r>
        </w:p>
        <w:p w14:paraId="53910CBA" w14:textId="5F00AFEF" w:rsidR="001D51BF" w:rsidRDefault="00003051">
          <w:pPr>
            <w:pStyle w:val="TOC1"/>
            <w:tabs>
              <w:tab w:val="right" w:leader="dot" w:pos="9016"/>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18449539" w:history="1">
            <w:r w:rsidR="001D51BF" w:rsidRPr="00EF1F60">
              <w:rPr>
                <w:rStyle w:val="Hyperlink"/>
                <w:noProof/>
              </w:rPr>
              <w:t>Algemene inleiding</w:t>
            </w:r>
            <w:r w:rsidR="001D51BF">
              <w:rPr>
                <w:noProof/>
                <w:webHidden/>
              </w:rPr>
              <w:tab/>
            </w:r>
            <w:r w:rsidR="001D51BF">
              <w:rPr>
                <w:noProof/>
                <w:webHidden/>
              </w:rPr>
              <w:fldChar w:fldCharType="begin"/>
            </w:r>
            <w:r w:rsidR="001D51BF">
              <w:rPr>
                <w:noProof/>
                <w:webHidden/>
              </w:rPr>
              <w:instrText xml:space="preserve"> PAGEREF _Toc218449539 \h </w:instrText>
            </w:r>
            <w:r w:rsidR="001D51BF">
              <w:rPr>
                <w:noProof/>
                <w:webHidden/>
              </w:rPr>
            </w:r>
            <w:r w:rsidR="001D51BF">
              <w:rPr>
                <w:noProof/>
                <w:webHidden/>
              </w:rPr>
              <w:fldChar w:fldCharType="separate"/>
            </w:r>
            <w:r w:rsidR="001D51BF">
              <w:rPr>
                <w:noProof/>
                <w:webHidden/>
              </w:rPr>
              <w:t>2</w:t>
            </w:r>
            <w:r w:rsidR="001D51BF">
              <w:rPr>
                <w:noProof/>
                <w:webHidden/>
              </w:rPr>
              <w:fldChar w:fldCharType="end"/>
            </w:r>
          </w:hyperlink>
        </w:p>
        <w:p w14:paraId="7EA20F69" w14:textId="61059AD2" w:rsidR="001D51BF" w:rsidRDefault="001D51BF">
          <w:pPr>
            <w:pStyle w:val="TOC1"/>
            <w:tabs>
              <w:tab w:val="right" w:leader="dot" w:pos="9016"/>
            </w:tabs>
            <w:rPr>
              <w:rFonts w:cstheme="minorBidi"/>
              <w:noProof/>
              <w:kern w:val="2"/>
              <w:sz w:val="24"/>
              <w:szCs w:val="24"/>
              <w14:ligatures w14:val="standardContextual"/>
            </w:rPr>
          </w:pPr>
          <w:hyperlink w:anchor="_Toc218449540" w:history="1">
            <w:r w:rsidRPr="00EF1F60">
              <w:rPr>
                <w:rStyle w:val="Hyperlink"/>
                <w:noProof/>
              </w:rPr>
              <w:t>1. Selectievermogensbeheerders</w:t>
            </w:r>
            <w:r>
              <w:rPr>
                <w:noProof/>
                <w:webHidden/>
              </w:rPr>
              <w:tab/>
            </w:r>
            <w:r>
              <w:rPr>
                <w:noProof/>
                <w:webHidden/>
              </w:rPr>
              <w:fldChar w:fldCharType="begin"/>
            </w:r>
            <w:r>
              <w:rPr>
                <w:noProof/>
                <w:webHidden/>
              </w:rPr>
              <w:instrText xml:space="preserve"> PAGEREF _Toc218449540 \h </w:instrText>
            </w:r>
            <w:r>
              <w:rPr>
                <w:noProof/>
                <w:webHidden/>
              </w:rPr>
            </w:r>
            <w:r>
              <w:rPr>
                <w:noProof/>
                <w:webHidden/>
              </w:rPr>
              <w:fldChar w:fldCharType="separate"/>
            </w:r>
            <w:r>
              <w:rPr>
                <w:noProof/>
                <w:webHidden/>
              </w:rPr>
              <w:t>4</w:t>
            </w:r>
            <w:r>
              <w:rPr>
                <w:noProof/>
                <w:webHidden/>
              </w:rPr>
              <w:fldChar w:fldCharType="end"/>
            </w:r>
          </w:hyperlink>
        </w:p>
        <w:p w14:paraId="2A36392A" w14:textId="48914811" w:rsidR="001D51BF" w:rsidRDefault="001D51BF">
          <w:pPr>
            <w:pStyle w:val="TOC2"/>
            <w:tabs>
              <w:tab w:val="right" w:leader="dot" w:pos="9016"/>
            </w:tabs>
            <w:rPr>
              <w:rFonts w:cstheme="minorBidi"/>
              <w:noProof/>
              <w:kern w:val="2"/>
              <w:sz w:val="24"/>
              <w:szCs w:val="24"/>
              <w14:ligatures w14:val="standardContextual"/>
            </w:rPr>
          </w:pPr>
          <w:hyperlink w:anchor="_Toc218449541" w:history="1">
            <w:r w:rsidRPr="00EF1F60">
              <w:rPr>
                <w:rStyle w:val="Hyperlink"/>
                <w:noProof/>
              </w:rPr>
              <w:t>1.1 Inleiding selectievermogensbeheerders</w:t>
            </w:r>
            <w:r>
              <w:rPr>
                <w:noProof/>
                <w:webHidden/>
              </w:rPr>
              <w:tab/>
            </w:r>
            <w:r>
              <w:rPr>
                <w:noProof/>
                <w:webHidden/>
              </w:rPr>
              <w:fldChar w:fldCharType="begin"/>
            </w:r>
            <w:r>
              <w:rPr>
                <w:noProof/>
                <w:webHidden/>
              </w:rPr>
              <w:instrText xml:space="preserve"> PAGEREF _Toc218449541 \h </w:instrText>
            </w:r>
            <w:r>
              <w:rPr>
                <w:noProof/>
                <w:webHidden/>
              </w:rPr>
            </w:r>
            <w:r>
              <w:rPr>
                <w:noProof/>
                <w:webHidden/>
              </w:rPr>
              <w:fldChar w:fldCharType="separate"/>
            </w:r>
            <w:r>
              <w:rPr>
                <w:noProof/>
                <w:webHidden/>
              </w:rPr>
              <w:t>4</w:t>
            </w:r>
            <w:r>
              <w:rPr>
                <w:noProof/>
                <w:webHidden/>
              </w:rPr>
              <w:fldChar w:fldCharType="end"/>
            </w:r>
          </w:hyperlink>
        </w:p>
        <w:p w14:paraId="7D3BCA35" w14:textId="2FA3A2DD" w:rsidR="001D51BF" w:rsidRDefault="001D51BF">
          <w:pPr>
            <w:pStyle w:val="TOC2"/>
            <w:tabs>
              <w:tab w:val="right" w:leader="dot" w:pos="9016"/>
            </w:tabs>
            <w:rPr>
              <w:rFonts w:cstheme="minorBidi"/>
              <w:noProof/>
              <w:kern w:val="2"/>
              <w:sz w:val="24"/>
              <w:szCs w:val="24"/>
              <w14:ligatures w14:val="standardContextual"/>
            </w:rPr>
          </w:pPr>
          <w:hyperlink w:anchor="_Toc218449542" w:history="1">
            <w:r w:rsidRPr="00EF1F60">
              <w:rPr>
                <w:rStyle w:val="Hyperlink"/>
                <w:noProof/>
              </w:rPr>
              <w:t>1.2 Analyse van de vermogensbeheerders</w:t>
            </w:r>
            <w:r>
              <w:rPr>
                <w:noProof/>
                <w:webHidden/>
              </w:rPr>
              <w:tab/>
            </w:r>
            <w:r>
              <w:rPr>
                <w:noProof/>
                <w:webHidden/>
              </w:rPr>
              <w:fldChar w:fldCharType="begin"/>
            </w:r>
            <w:r>
              <w:rPr>
                <w:noProof/>
                <w:webHidden/>
              </w:rPr>
              <w:instrText xml:space="preserve"> PAGEREF _Toc218449542 \h </w:instrText>
            </w:r>
            <w:r>
              <w:rPr>
                <w:noProof/>
                <w:webHidden/>
              </w:rPr>
            </w:r>
            <w:r>
              <w:rPr>
                <w:noProof/>
                <w:webHidden/>
              </w:rPr>
              <w:fldChar w:fldCharType="separate"/>
            </w:r>
            <w:r>
              <w:rPr>
                <w:noProof/>
                <w:webHidden/>
              </w:rPr>
              <w:t>5</w:t>
            </w:r>
            <w:r>
              <w:rPr>
                <w:noProof/>
                <w:webHidden/>
              </w:rPr>
              <w:fldChar w:fldCharType="end"/>
            </w:r>
          </w:hyperlink>
        </w:p>
        <w:p w14:paraId="79C95E2B" w14:textId="60CE7120" w:rsidR="001D51BF" w:rsidRDefault="001D51BF">
          <w:pPr>
            <w:pStyle w:val="TOC3"/>
            <w:tabs>
              <w:tab w:val="right" w:leader="dot" w:pos="9016"/>
            </w:tabs>
            <w:rPr>
              <w:rFonts w:cstheme="minorBidi"/>
              <w:noProof/>
              <w:kern w:val="2"/>
              <w:sz w:val="24"/>
              <w:szCs w:val="24"/>
              <w14:ligatures w14:val="standardContextual"/>
            </w:rPr>
          </w:pPr>
          <w:hyperlink w:anchor="_Toc218449543" w:history="1">
            <w:r w:rsidRPr="00EF1F60">
              <w:rPr>
                <w:rStyle w:val="Hyperlink"/>
                <w:noProof/>
              </w:rPr>
              <w:t>1.2.1 Amundi</w:t>
            </w:r>
            <w:r>
              <w:rPr>
                <w:noProof/>
                <w:webHidden/>
              </w:rPr>
              <w:tab/>
            </w:r>
            <w:r>
              <w:rPr>
                <w:noProof/>
                <w:webHidden/>
              </w:rPr>
              <w:fldChar w:fldCharType="begin"/>
            </w:r>
            <w:r>
              <w:rPr>
                <w:noProof/>
                <w:webHidden/>
              </w:rPr>
              <w:instrText xml:space="preserve"> PAGEREF _Toc218449543 \h </w:instrText>
            </w:r>
            <w:r>
              <w:rPr>
                <w:noProof/>
                <w:webHidden/>
              </w:rPr>
            </w:r>
            <w:r>
              <w:rPr>
                <w:noProof/>
                <w:webHidden/>
              </w:rPr>
              <w:fldChar w:fldCharType="separate"/>
            </w:r>
            <w:r>
              <w:rPr>
                <w:noProof/>
                <w:webHidden/>
              </w:rPr>
              <w:t>5</w:t>
            </w:r>
            <w:r>
              <w:rPr>
                <w:noProof/>
                <w:webHidden/>
              </w:rPr>
              <w:fldChar w:fldCharType="end"/>
            </w:r>
          </w:hyperlink>
        </w:p>
        <w:p w14:paraId="3D2E8ED5" w14:textId="4A6986D1" w:rsidR="001D51BF" w:rsidRDefault="001D51BF">
          <w:pPr>
            <w:pStyle w:val="TOC3"/>
            <w:tabs>
              <w:tab w:val="right" w:leader="dot" w:pos="9016"/>
            </w:tabs>
            <w:rPr>
              <w:rFonts w:cstheme="minorBidi"/>
              <w:noProof/>
              <w:kern w:val="2"/>
              <w:sz w:val="24"/>
              <w:szCs w:val="24"/>
              <w14:ligatures w14:val="standardContextual"/>
            </w:rPr>
          </w:pPr>
          <w:hyperlink w:anchor="_Toc218449544" w:history="1">
            <w:r w:rsidRPr="00EF1F60">
              <w:rPr>
                <w:rStyle w:val="Hyperlink"/>
                <w:noProof/>
              </w:rPr>
              <w:t>1.2.2 ASN Impact Investors</w:t>
            </w:r>
            <w:r>
              <w:rPr>
                <w:noProof/>
                <w:webHidden/>
              </w:rPr>
              <w:tab/>
            </w:r>
            <w:r>
              <w:rPr>
                <w:noProof/>
                <w:webHidden/>
              </w:rPr>
              <w:fldChar w:fldCharType="begin"/>
            </w:r>
            <w:r>
              <w:rPr>
                <w:noProof/>
                <w:webHidden/>
              </w:rPr>
              <w:instrText xml:space="preserve"> PAGEREF _Toc218449544 \h </w:instrText>
            </w:r>
            <w:r>
              <w:rPr>
                <w:noProof/>
                <w:webHidden/>
              </w:rPr>
            </w:r>
            <w:r>
              <w:rPr>
                <w:noProof/>
                <w:webHidden/>
              </w:rPr>
              <w:fldChar w:fldCharType="separate"/>
            </w:r>
            <w:r>
              <w:rPr>
                <w:noProof/>
                <w:webHidden/>
              </w:rPr>
              <w:t>6</w:t>
            </w:r>
            <w:r>
              <w:rPr>
                <w:noProof/>
                <w:webHidden/>
              </w:rPr>
              <w:fldChar w:fldCharType="end"/>
            </w:r>
          </w:hyperlink>
        </w:p>
        <w:p w14:paraId="3E2A5AEB" w14:textId="55211FBD" w:rsidR="001D51BF" w:rsidRDefault="001D51BF">
          <w:pPr>
            <w:pStyle w:val="TOC3"/>
            <w:tabs>
              <w:tab w:val="right" w:leader="dot" w:pos="9016"/>
            </w:tabs>
            <w:rPr>
              <w:rFonts w:cstheme="minorBidi"/>
              <w:noProof/>
              <w:kern w:val="2"/>
              <w:sz w:val="24"/>
              <w:szCs w:val="24"/>
              <w14:ligatures w14:val="standardContextual"/>
            </w:rPr>
          </w:pPr>
          <w:hyperlink w:anchor="_Toc218449545" w:history="1">
            <w:r w:rsidRPr="00EF1F60">
              <w:rPr>
                <w:rStyle w:val="Hyperlink"/>
                <w:noProof/>
              </w:rPr>
              <w:t>1.2.3 Triodos Investment Management</w:t>
            </w:r>
            <w:r>
              <w:rPr>
                <w:noProof/>
                <w:webHidden/>
              </w:rPr>
              <w:tab/>
            </w:r>
            <w:r>
              <w:rPr>
                <w:noProof/>
                <w:webHidden/>
              </w:rPr>
              <w:fldChar w:fldCharType="begin"/>
            </w:r>
            <w:r>
              <w:rPr>
                <w:noProof/>
                <w:webHidden/>
              </w:rPr>
              <w:instrText xml:space="preserve"> PAGEREF _Toc218449545 \h </w:instrText>
            </w:r>
            <w:r>
              <w:rPr>
                <w:noProof/>
                <w:webHidden/>
              </w:rPr>
            </w:r>
            <w:r>
              <w:rPr>
                <w:noProof/>
                <w:webHidden/>
              </w:rPr>
              <w:fldChar w:fldCharType="separate"/>
            </w:r>
            <w:r>
              <w:rPr>
                <w:noProof/>
                <w:webHidden/>
              </w:rPr>
              <w:t>7</w:t>
            </w:r>
            <w:r>
              <w:rPr>
                <w:noProof/>
                <w:webHidden/>
              </w:rPr>
              <w:fldChar w:fldCharType="end"/>
            </w:r>
          </w:hyperlink>
        </w:p>
        <w:p w14:paraId="79EEC588" w14:textId="0438F3E1" w:rsidR="001D51BF" w:rsidRDefault="001D51BF">
          <w:pPr>
            <w:pStyle w:val="TOC3"/>
            <w:tabs>
              <w:tab w:val="right" w:leader="dot" w:pos="9016"/>
            </w:tabs>
            <w:rPr>
              <w:rFonts w:cstheme="minorBidi"/>
              <w:noProof/>
              <w:kern w:val="2"/>
              <w:sz w:val="24"/>
              <w:szCs w:val="24"/>
              <w14:ligatures w14:val="standardContextual"/>
            </w:rPr>
          </w:pPr>
          <w:hyperlink w:anchor="_Toc218449546" w:history="1">
            <w:r w:rsidRPr="00EF1F60">
              <w:rPr>
                <w:rStyle w:val="Hyperlink"/>
                <w:noProof/>
              </w:rPr>
              <w:t>1.2.4 Robeco</w:t>
            </w:r>
            <w:r>
              <w:rPr>
                <w:noProof/>
                <w:webHidden/>
              </w:rPr>
              <w:tab/>
            </w:r>
            <w:r>
              <w:rPr>
                <w:noProof/>
                <w:webHidden/>
              </w:rPr>
              <w:fldChar w:fldCharType="begin"/>
            </w:r>
            <w:r>
              <w:rPr>
                <w:noProof/>
                <w:webHidden/>
              </w:rPr>
              <w:instrText xml:space="preserve"> PAGEREF _Toc218449546 \h </w:instrText>
            </w:r>
            <w:r>
              <w:rPr>
                <w:noProof/>
                <w:webHidden/>
              </w:rPr>
            </w:r>
            <w:r>
              <w:rPr>
                <w:noProof/>
                <w:webHidden/>
              </w:rPr>
              <w:fldChar w:fldCharType="separate"/>
            </w:r>
            <w:r>
              <w:rPr>
                <w:noProof/>
                <w:webHidden/>
              </w:rPr>
              <w:t>8</w:t>
            </w:r>
            <w:r>
              <w:rPr>
                <w:noProof/>
                <w:webHidden/>
              </w:rPr>
              <w:fldChar w:fldCharType="end"/>
            </w:r>
          </w:hyperlink>
        </w:p>
        <w:p w14:paraId="581CDC47" w14:textId="07E63A2C" w:rsidR="001D51BF" w:rsidRDefault="001D51BF">
          <w:pPr>
            <w:pStyle w:val="TOC3"/>
            <w:tabs>
              <w:tab w:val="right" w:leader="dot" w:pos="9016"/>
            </w:tabs>
            <w:rPr>
              <w:rFonts w:cstheme="minorBidi"/>
              <w:noProof/>
              <w:kern w:val="2"/>
              <w:sz w:val="24"/>
              <w:szCs w:val="24"/>
              <w14:ligatures w14:val="standardContextual"/>
            </w:rPr>
          </w:pPr>
          <w:hyperlink w:anchor="_Toc218449547" w:history="1">
            <w:r w:rsidRPr="00EF1F60">
              <w:rPr>
                <w:rStyle w:val="Hyperlink"/>
                <w:noProof/>
              </w:rPr>
              <w:t>1.2.5 Allianz Global Investors</w:t>
            </w:r>
            <w:r>
              <w:rPr>
                <w:noProof/>
                <w:webHidden/>
              </w:rPr>
              <w:tab/>
            </w:r>
            <w:r>
              <w:rPr>
                <w:noProof/>
                <w:webHidden/>
              </w:rPr>
              <w:fldChar w:fldCharType="begin"/>
            </w:r>
            <w:r>
              <w:rPr>
                <w:noProof/>
                <w:webHidden/>
              </w:rPr>
              <w:instrText xml:space="preserve"> PAGEREF _Toc218449547 \h </w:instrText>
            </w:r>
            <w:r>
              <w:rPr>
                <w:noProof/>
                <w:webHidden/>
              </w:rPr>
            </w:r>
            <w:r>
              <w:rPr>
                <w:noProof/>
                <w:webHidden/>
              </w:rPr>
              <w:fldChar w:fldCharType="separate"/>
            </w:r>
            <w:r>
              <w:rPr>
                <w:noProof/>
                <w:webHidden/>
              </w:rPr>
              <w:t>8</w:t>
            </w:r>
            <w:r>
              <w:rPr>
                <w:noProof/>
                <w:webHidden/>
              </w:rPr>
              <w:fldChar w:fldCharType="end"/>
            </w:r>
          </w:hyperlink>
        </w:p>
        <w:p w14:paraId="663B82F5" w14:textId="433F6DDD" w:rsidR="001D51BF" w:rsidRDefault="001D51BF">
          <w:pPr>
            <w:pStyle w:val="TOC3"/>
            <w:tabs>
              <w:tab w:val="right" w:leader="dot" w:pos="9016"/>
            </w:tabs>
            <w:rPr>
              <w:rFonts w:cstheme="minorBidi"/>
              <w:noProof/>
              <w:kern w:val="2"/>
              <w:sz w:val="24"/>
              <w:szCs w:val="24"/>
              <w14:ligatures w14:val="standardContextual"/>
            </w:rPr>
          </w:pPr>
          <w:hyperlink w:anchor="_Toc218449548" w:history="1">
            <w:r w:rsidRPr="00EF1F60">
              <w:rPr>
                <w:rStyle w:val="Hyperlink"/>
                <w:noProof/>
              </w:rPr>
              <w:t>1.2.6 BNP Paribas Asset Management</w:t>
            </w:r>
            <w:r>
              <w:rPr>
                <w:noProof/>
                <w:webHidden/>
              </w:rPr>
              <w:tab/>
            </w:r>
            <w:r>
              <w:rPr>
                <w:noProof/>
                <w:webHidden/>
              </w:rPr>
              <w:fldChar w:fldCharType="begin"/>
            </w:r>
            <w:r>
              <w:rPr>
                <w:noProof/>
                <w:webHidden/>
              </w:rPr>
              <w:instrText xml:space="preserve"> PAGEREF _Toc218449548 \h </w:instrText>
            </w:r>
            <w:r>
              <w:rPr>
                <w:noProof/>
                <w:webHidden/>
              </w:rPr>
            </w:r>
            <w:r>
              <w:rPr>
                <w:noProof/>
                <w:webHidden/>
              </w:rPr>
              <w:fldChar w:fldCharType="separate"/>
            </w:r>
            <w:r>
              <w:rPr>
                <w:noProof/>
                <w:webHidden/>
              </w:rPr>
              <w:t>9</w:t>
            </w:r>
            <w:r>
              <w:rPr>
                <w:noProof/>
                <w:webHidden/>
              </w:rPr>
              <w:fldChar w:fldCharType="end"/>
            </w:r>
          </w:hyperlink>
        </w:p>
        <w:p w14:paraId="141BD1D0" w14:textId="40DA4A4C" w:rsidR="001D51BF" w:rsidRDefault="001D51BF">
          <w:pPr>
            <w:pStyle w:val="TOC3"/>
            <w:tabs>
              <w:tab w:val="right" w:leader="dot" w:pos="9016"/>
            </w:tabs>
            <w:rPr>
              <w:rFonts w:cstheme="minorBidi"/>
              <w:noProof/>
              <w:kern w:val="2"/>
              <w:sz w:val="24"/>
              <w:szCs w:val="24"/>
              <w14:ligatures w14:val="standardContextual"/>
            </w:rPr>
          </w:pPr>
          <w:hyperlink w:anchor="_Toc218449549" w:history="1">
            <w:r w:rsidRPr="00EF1F60">
              <w:rPr>
                <w:rStyle w:val="Hyperlink"/>
                <w:noProof/>
              </w:rPr>
              <w:t>1.2.7 Vanguard</w:t>
            </w:r>
            <w:r>
              <w:rPr>
                <w:noProof/>
                <w:webHidden/>
              </w:rPr>
              <w:tab/>
            </w:r>
            <w:r>
              <w:rPr>
                <w:noProof/>
                <w:webHidden/>
              </w:rPr>
              <w:fldChar w:fldCharType="begin"/>
            </w:r>
            <w:r>
              <w:rPr>
                <w:noProof/>
                <w:webHidden/>
              </w:rPr>
              <w:instrText xml:space="preserve"> PAGEREF _Toc218449549 \h </w:instrText>
            </w:r>
            <w:r>
              <w:rPr>
                <w:noProof/>
                <w:webHidden/>
              </w:rPr>
            </w:r>
            <w:r>
              <w:rPr>
                <w:noProof/>
                <w:webHidden/>
              </w:rPr>
              <w:fldChar w:fldCharType="separate"/>
            </w:r>
            <w:r>
              <w:rPr>
                <w:noProof/>
                <w:webHidden/>
              </w:rPr>
              <w:t>10</w:t>
            </w:r>
            <w:r>
              <w:rPr>
                <w:noProof/>
                <w:webHidden/>
              </w:rPr>
              <w:fldChar w:fldCharType="end"/>
            </w:r>
          </w:hyperlink>
        </w:p>
        <w:p w14:paraId="0A4CE61E" w14:textId="55F4D0F7" w:rsidR="001D51BF" w:rsidRDefault="001D51BF">
          <w:pPr>
            <w:pStyle w:val="TOC3"/>
            <w:tabs>
              <w:tab w:val="right" w:leader="dot" w:pos="9016"/>
            </w:tabs>
            <w:rPr>
              <w:rFonts w:cstheme="minorBidi"/>
              <w:noProof/>
              <w:kern w:val="2"/>
              <w:sz w:val="24"/>
              <w:szCs w:val="24"/>
              <w14:ligatures w14:val="standardContextual"/>
            </w:rPr>
          </w:pPr>
          <w:hyperlink w:anchor="_Toc218449550" w:history="1">
            <w:r w:rsidRPr="00EF1F60">
              <w:rPr>
                <w:rStyle w:val="Hyperlink"/>
                <w:noProof/>
              </w:rPr>
              <w:t>1.2.8 BlackRock</w:t>
            </w:r>
            <w:r>
              <w:rPr>
                <w:noProof/>
                <w:webHidden/>
              </w:rPr>
              <w:tab/>
            </w:r>
            <w:r>
              <w:rPr>
                <w:noProof/>
                <w:webHidden/>
              </w:rPr>
              <w:fldChar w:fldCharType="begin"/>
            </w:r>
            <w:r>
              <w:rPr>
                <w:noProof/>
                <w:webHidden/>
              </w:rPr>
              <w:instrText xml:space="preserve"> PAGEREF _Toc218449550 \h </w:instrText>
            </w:r>
            <w:r>
              <w:rPr>
                <w:noProof/>
                <w:webHidden/>
              </w:rPr>
            </w:r>
            <w:r>
              <w:rPr>
                <w:noProof/>
                <w:webHidden/>
              </w:rPr>
              <w:fldChar w:fldCharType="separate"/>
            </w:r>
            <w:r>
              <w:rPr>
                <w:noProof/>
                <w:webHidden/>
              </w:rPr>
              <w:t>11</w:t>
            </w:r>
            <w:r>
              <w:rPr>
                <w:noProof/>
                <w:webHidden/>
              </w:rPr>
              <w:fldChar w:fldCharType="end"/>
            </w:r>
          </w:hyperlink>
        </w:p>
        <w:p w14:paraId="4324C04D" w14:textId="503C7009" w:rsidR="001D51BF" w:rsidRDefault="001D51BF">
          <w:pPr>
            <w:pStyle w:val="TOC2"/>
            <w:tabs>
              <w:tab w:val="right" w:leader="dot" w:pos="9016"/>
            </w:tabs>
            <w:rPr>
              <w:rFonts w:cstheme="minorBidi"/>
              <w:noProof/>
              <w:kern w:val="2"/>
              <w:sz w:val="24"/>
              <w:szCs w:val="24"/>
              <w14:ligatures w14:val="standardContextual"/>
            </w:rPr>
          </w:pPr>
          <w:hyperlink w:anchor="_Toc218449551" w:history="1">
            <w:r w:rsidRPr="00EF1F60">
              <w:rPr>
                <w:rStyle w:val="Hyperlink"/>
                <w:noProof/>
              </w:rPr>
              <w:t>1.3 Beslissingsmatrix</w:t>
            </w:r>
            <w:r>
              <w:rPr>
                <w:noProof/>
                <w:webHidden/>
              </w:rPr>
              <w:tab/>
            </w:r>
            <w:r>
              <w:rPr>
                <w:noProof/>
                <w:webHidden/>
              </w:rPr>
              <w:fldChar w:fldCharType="begin"/>
            </w:r>
            <w:r>
              <w:rPr>
                <w:noProof/>
                <w:webHidden/>
              </w:rPr>
              <w:instrText xml:space="preserve"> PAGEREF _Toc218449551 \h </w:instrText>
            </w:r>
            <w:r>
              <w:rPr>
                <w:noProof/>
                <w:webHidden/>
              </w:rPr>
            </w:r>
            <w:r>
              <w:rPr>
                <w:noProof/>
                <w:webHidden/>
              </w:rPr>
              <w:fldChar w:fldCharType="separate"/>
            </w:r>
            <w:r>
              <w:rPr>
                <w:noProof/>
                <w:webHidden/>
              </w:rPr>
              <w:t>12</w:t>
            </w:r>
            <w:r>
              <w:rPr>
                <w:noProof/>
                <w:webHidden/>
              </w:rPr>
              <w:fldChar w:fldCharType="end"/>
            </w:r>
          </w:hyperlink>
        </w:p>
        <w:p w14:paraId="73F214AC" w14:textId="38EF7AD8" w:rsidR="001D51BF" w:rsidRDefault="001D51BF">
          <w:pPr>
            <w:pStyle w:val="TOC2"/>
            <w:tabs>
              <w:tab w:val="right" w:leader="dot" w:pos="9016"/>
            </w:tabs>
            <w:rPr>
              <w:rFonts w:cstheme="minorBidi"/>
              <w:noProof/>
              <w:kern w:val="2"/>
              <w:sz w:val="24"/>
              <w:szCs w:val="24"/>
              <w14:ligatures w14:val="standardContextual"/>
            </w:rPr>
          </w:pPr>
          <w:hyperlink w:anchor="_Toc218449552" w:history="1">
            <w:r w:rsidRPr="00EF1F60">
              <w:rPr>
                <w:rStyle w:val="Hyperlink"/>
                <w:noProof/>
              </w:rPr>
              <w:t>1.4 Conclusie</w:t>
            </w:r>
            <w:r>
              <w:rPr>
                <w:noProof/>
                <w:webHidden/>
              </w:rPr>
              <w:tab/>
            </w:r>
            <w:r>
              <w:rPr>
                <w:noProof/>
                <w:webHidden/>
              </w:rPr>
              <w:fldChar w:fldCharType="begin"/>
            </w:r>
            <w:r>
              <w:rPr>
                <w:noProof/>
                <w:webHidden/>
              </w:rPr>
              <w:instrText xml:space="preserve"> PAGEREF _Toc218449552 \h </w:instrText>
            </w:r>
            <w:r>
              <w:rPr>
                <w:noProof/>
                <w:webHidden/>
              </w:rPr>
            </w:r>
            <w:r>
              <w:rPr>
                <w:noProof/>
                <w:webHidden/>
              </w:rPr>
              <w:fldChar w:fldCharType="separate"/>
            </w:r>
            <w:r>
              <w:rPr>
                <w:noProof/>
                <w:webHidden/>
              </w:rPr>
              <w:t>13</w:t>
            </w:r>
            <w:r>
              <w:rPr>
                <w:noProof/>
                <w:webHidden/>
              </w:rPr>
              <w:fldChar w:fldCharType="end"/>
            </w:r>
          </w:hyperlink>
        </w:p>
        <w:p w14:paraId="29100E5C" w14:textId="37DD8B26" w:rsidR="001D51BF" w:rsidRDefault="001D51BF">
          <w:pPr>
            <w:pStyle w:val="TOC1"/>
            <w:tabs>
              <w:tab w:val="right" w:leader="dot" w:pos="9016"/>
            </w:tabs>
            <w:rPr>
              <w:rFonts w:cstheme="minorBidi"/>
              <w:noProof/>
              <w:kern w:val="2"/>
              <w:sz w:val="24"/>
              <w:szCs w:val="24"/>
              <w14:ligatures w14:val="standardContextual"/>
            </w:rPr>
          </w:pPr>
          <w:hyperlink w:anchor="_Toc218449553" w:history="1">
            <w:r w:rsidRPr="00EF1F60">
              <w:rPr>
                <w:rStyle w:val="Hyperlink"/>
                <w:noProof/>
              </w:rPr>
              <w:t>2. Algemene toelichting voor de selectie van Triodos Investment Management en BlackRock</w:t>
            </w:r>
            <w:r>
              <w:rPr>
                <w:noProof/>
                <w:webHidden/>
              </w:rPr>
              <w:tab/>
            </w:r>
            <w:r>
              <w:rPr>
                <w:noProof/>
                <w:webHidden/>
              </w:rPr>
              <w:fldChar w:fldCharType="begin"/>
            </w:r>
            <w:r>
              <w:rPr>
                <w:noProof/>
                <w:webHidden/>
              </w:rPr>
              <w:instrText xml:space="preserve"> PAGEREF _Toc218449553 \h </w:instrText>
            </w:r>
            <w:r>
              <w:rPr>
                <w:noProof/>
                <w:webHidden/>
              </w:rPr>
            </w:r>
            <w:r>
              <w:rPr>
                <w:noProof/>
                <w:webHidden/>
              </w:rPr>
              <w:fldChar w:fldCharType="separate"/>
            </w:r>
            <w:r>
              <w:rPr>
                <w:noProof/>
                <w:webHidden/>
              </w:rPr>
              <w:t>14</w:t>
            </w:r>
            <w:r>
              <w:rPr>
                <w:noProof/>
                <w:webHidden/>
              </w:rPr>
              <w:fldChar w:fldCharType="end"/>
            </w:r>
          </w:hyperlink>
        </w:p>
        <w:p w14:paraId="6803AD45" w14:textId="50F8C5ED" w:rsidR="001D51BF" w:rsidRDefault="001D51BF">
          <w:pPr>
            <w:pStyle w:val="TOC1"/>
            <w:tabs>
              <w:tab w:val="right" w:leader="dot" w:pos="9016"/>
            </w:tabs>
            <w:rPr>
              <w:rFonts w:cstheme="minorBidi"/>
              <w:noProof/>
              <w:kern w:val="2"/>
              <w:sz w:val="24"/>
              <w:szCs w:val="24"/>
              <w14:ligatures w14:val="standardContextual"/>
            </w:rPr>
          </w:pPr>
          <w:hyperlink w:anchor="_Toc218449554" w:history="1">
            <w:r w:rsidRPr="00EF1F60">
              <w:rPr>
                <w:rStyle w:val="Hyperlink"/>
                <w:noProof/>
              </w:rPr>
              <w:t>3. Fiscale context en relevantie voor de selectie van beleggingsfondsen</w:t>
            </w:r>
            <w:r>
              <w:rPr>
                <w:noProof/>
                <w:webHidden/>
              </w:rPr>
              <w:tab/>
            </w:r>
            <w:r>
              <w:rPr>
                <w:noProof/>
                <w:webHidden/>
              </w:rPr>
              <w:fldChar w:fldCharType="begin"/>
            </w:r>
            <w:r>
              <w:rPr>
                <w:noProof/>
                <w:webHidden/>
              </w:rPr>
              <w:instrText xml:space="preserve"> PAGEREF _Toc218449554 \h </w:instrText>
            </w:r>
            <w:r>
              <w:rPr>
                <w:noProof/>
                <w:webHidden/>
              </w:rPr>
            </w:r>
            <w:r>
              <w:rPr>
                <w:noProof/>
                <w:webHidden/>
              </w:rPr>
              <w:fldChar w:fldCharType="separate"/>
            </w:r>
            <w:r>
              <w:rPr>
                <w:noProof/>
                <w:webHidden/>
              </w:rPr>
              <w:t>16</w:t>
            </w:r>
            <w:r>
              <w:rPr>
                <w:noProof/>
                <w:webHidden/>
              </w:rPr>
              <w:fldChar w:fldCharType="end"/>
            </w:r>
          </w:hyperlink>
        </w:p>
        <w:p w14:paraId="701B25B4" w14:textId="626272B3" w:rsidR="001D51BF" w:rsidRDefault="001D51BF">
          <w:pPr>
            <w:pStyle w:val="TOC1"/>
            <w:tabs>
              <w:tab w:val="right" w:leader="dot" w:pos="9016"/>
            </w:tabs>
            <w:rPr>
              <w:rFonts w:cstheme="minorBidi"/>
              <w:noProof/>
              <w:kern w:val="2"/>
              <w:sz w:val="24"/>
              <w:szCs w:val="24"/>
              <w14:ligatures w14:val="standardContextual"/>
            </w:rPr>
          </w:pPr>
          <w:hyperlink w:anchor="_Toc218449555" w:history="1">
            <w:r w:rsidRPr="00EF1F60">
              <w:rPr>
                <w:rStyle w:val="Hyperlink"/>
                <w:noProof/>
              </w:rPr>
              <w:t>4. Selectie van beleggingsfondsen</w:t>
            </w:r>
            <w:r>
              <w:rPr>
                <w:noProof/>
                <w:webHidden/>
              </w:rPr>
              <w:tab/>
            </w:r>
            <w:r>
              <w:rPr>
                <w:noProof/>
                <w:webHidden/>
              </w:rPr>
              <w:fldChar w:fldCharType="begin"/>
            </w:r>
            <w:r>
              <w:rPr>
                <w:noProof/>
                <w:webHidden/>
              </w:rPr>
              <w:instrText xml:space="preserve"> PAGEREF _Toc218449555 \h </w:instrText>
            </w:r>
            <w:r>
              <w:rPr>
                <w:noProof/>
                <w:webHidden/>
              </w:rPr>
            </w:r>
            <w:r>
              <w:rPr>
                <w:noProof/>
                <w:webHidden/>
              </w:rPr>
              <w:fldChar w:fldCharType="separate"/>
            </w:r>
            <w:r>
              <w:rPr>
                <w:noProof/>
                <w:webHidden/>
              </w:rPr>
              <w:t>18</w:t>
            </w:r>
            <w:r>
              <w:rPr>
                <w:noProof/>
                <w:webHidden/>
              </w:rPr>
              <w:fldChar w:fldCharType="end"/>
            </w:r>
          </w:hyperlink>
        </w:p>
        <w:p w14:paraId="5C824AF9" w14:textId="5CB3D959" w:rsidR="001D51BF" w:rsidRDefault="001D51BF">
          <w:pPr>
            <w:pStyle w:val="TOC2"/>
            <w:tabs>
              <w:tab w:val="right" w:leader="dot" w:pos="9016"/>
            </w:tabs>
            <w:rPr>
              <w:rFonts w:cstheme="minorBidi"/>
              <w:noProof/>
              <w:kern w:val="2"/>
              <w:sz w:val="24"/>
              <w:szCs w:val="24"/>
              <w14:ligatures w14:val="standardContextual"/>
            </w:rPr>
          </w:pPr>
          <w:hyperlink w:anchor="_Toc218449556" w:history="1">
            <w:r w:rsidRPr="00EF1F60">
              <w:rPr>
                <w:rStyle w:val="Hyperlink"/>
                <w:noProof/>
              </w:rPr>
              <w:t>4.1 Geselecteerde fondsen (overzicht)</w:t>
            </w:r>
            <w:r>
              <w:rPr>
                <w:noProof/>
                <w:webHidden/>
              </w:rPr>
              <w:tab/>
            </w:r>
            <w:r>
              <w:rPr>
                <w:noProof/>
                <w:webHidden/>
              </w:rPr>
              <w:fldChar w:fldCharType="begin"/>
            </w:r>
            <w:r>
              <w:rPr>
                <w:noProof/>
                <w:webHidden/>
              </w:rPr>
              <w:instrText xml:space="preserve"> PAGEREF _Toc218449556 \h </w:instrText>
            </w:r>
            <w:r>
              <w:rPr>
                <w:noProof/>
                <w:webHidden/>
              </w:rPr>
            </w:r>
            <w:r>
              <w:rPr>
                <w:noProof/>
                <w:webHidden/>
              </w:rPr>
              <w:fldChar w:fldCharType="separate"/>
            </w:r>
            <w:r>
              <w:rPr>
                <w:noProof/>
                <w:webHidden/>
              </w:rPr>
              <w:t>18</w:t>
            </w:r>
            <w:r>
              <w:rPr>
                <w:noProof/>
                <w:webHidden/>
              </w:rPr>
              <w:fldChar w:fldCharType="end"/>
            </w:r>
          </w:hyperlink>
        </w:p>
        <w:p w14:paraId="0D83118B" w14:textId="4E2CBA23" w:rsidR="001D51BF" w:rsidRDefault="001D51BF">
          <w:pPr>
            <w:pStyle w:val="TOC2"/>
            <w:tabs>
              <w:tab w:val="right" w:leader="dot" w:pos="9016"/>
            </w:tabs>
            <w:rPr>
              <w:rFonts w:cstheme="minorBidi"/>
              <w:noProof/>
              <w:kern w:val="2"/>
              <w:sz w:val="24"/>
              <w:szCs w:val="24"/>
              <w14:ligatures w14:val="standardContextual"/>
            </w:rPr>
          </w:pPr>
          <w:hyperlink w:anchor="_Toc218449557" w:history="1">
            <w:r w:rsidRPr="00EF1F60">
              <w:rPr>
                <w:rStyle w:val="Hyperlink"/>
                <w:noProof/>
              </w:rPr>
              <w:t>4.2  Vergelijking wereldwijde aandelenfondsen</w:t>
            </w:r>
            <w:r>
              <w:rPr>
                <w:noProof/>
                <w:webHidden/>
              </w:rPr>
              <w:tab/>
            </w:r>
            <w:r>
              <w:rPr>
                <w:noProof/>
                <w:webHidden/>
              </w:rPr>
              <w:fldChar w:fldCharType="begin"/>
            </w:r>
            <w:r>
              <w:rPr>
                <w:noProof/>
                <w:webHidden/>
              </w:rPr>
              <w:instrText xml:space="preserve"> PAGEREF _Toc218449557 \h </w:instrText>
            </w:r>
            <w:r>
              <w:rPr>
                <w:noProof/>
                <w:webHidden/>
              </w:rPr>
            </w:r>
            <w:r>
              <w:rPr>
                <w:noProof/>
                <w:webHidden/>
              </w:rPr>
              <w:fldChar w:fldCharType="separate"/>
            </w:r>
            <w:r>
              <w:rPr>
                <w:noProof/>
                <w:webHidden/>
              </w:rPr>
              <w:t>19</w:t>
            </w:r>
            <w:r>
              <w:rPr>
                <w:noProof/>
                <w:webHidden/>
              </w:rPr>
              <w:fldChar w:fldCharType="end"/>
            </w:r>
          </w:hyperlink>
        </w:p>
        <w:p w14:paraId="7844C83A" w14:textId="4FF0B603" w:rsidR="001D51BF" w:rsidRDefault="001D51BF">
          <w:pPr>
            <w:pStyle w:val="TOC2"/>
            <w:tabs>
              <w:tab w:val="right" w:leader="dot" w:pos="9016"/>
            </w:tabs>
            <w:rPr>
              <w:rFonts w:cstheme="minorBidi"/>
              <w:noProof/>
              <w:kern w:val="2"/>
              <w:sz w:val="24"/>
              <w:szCs w:val="24"/>
              <w14:ligatures w14:val="standardContextual"/>
            </w:rPr>
          </w:pPr>
          <w:hyperlink w:anchor="_Toc218449558" w:history="1">
            <w:r w:rsidRPr="00EF1F60">
              <w:rPr>
                <w:rStyle w:val="Hyperlink"/>
                <w:noProof/>
              </w:rPr>
              <w:t>4.1 Conclusie wereldwijde aandelenfondsen</w:t>
            </w:r>
            <w:r>
              <w:rPr>
                <w:noProof/>
                <w:webHidden/>
              </w:rPr>
              <w:tab/>
            </w:r>
            <w:r>
              <w:rPr>
                <w:noProof/>
                <w:webHidden/>
              </w:rPr>
              <w:fldChar w:fldCharType="begin"/>
            </w:r>
            <w:r>
              <w:rPr>
                <w:noProof/>
                <w:webHidden/>
              </w:rPr>
              <w:instrText xml:space="preserve"> PAGEREF _Toc218449558 \h </w:instrText>
            </w:r>
            <w:r>
              <w:rPr>
                <w:noProof/>
                <w:webHidden/>
              </w:rPr>
            </w:r>
            <w:r>
              <w:rPr>
                <w:noProof/>
                <w:webHidden/>
              </w:rPr>
              <w:fldChar w:fldCharType="separate"/>
            </w:r>
            <w:r>
              <w:rPr>
                <w:noProof/>
                <w:webHidden/>
              </w:rPr>
              <w:t>24</w:t>
            </w:r>
            <w:r>
              <w:rPr>
                <w:noProof/>
                <w:webHidden/>
              </w:rPr>
              <w:fldChar w:fldCharType="end"/>
            </w:r>
          </w:hyperlink>
        </w:p>
        <w:p w14:paraId="01C244E5" w14:textId="2CF4BAC6" w:rsidR="001D51BF" w:rsidRDefault="001D51BF">
          <w:pPr>
            <w:pStyle w:val="TOC1"/>
            <w:tabs>
              <w:tab w:val="right" w:leader="dot" w:pos="9016"/>
            </w:tabs>
            <w:rPr>
              <w:rFonts w:cstheme="minorBidi"/>
              <w:noProof/>
              <w:kern w:val="2"/>
              <w:sz w:val="24"/>
              <w:szCs w:val="24"/>
              <w14:ligatures w14:val="standardContextual"/>
            </w:rPr>
          </w:pPr>
          <w:hyperlink w:anchor="_Toc218449559" w:history="1">
            <w:r w:rsidRPr="00EF1F60">
              <w:rPr>
                <w:rStyle w:val="Hyperlink"/>
                <w:noProof/>
              </w:rPr>
              <w:t>5.  Vergelijking speciale duurzame fondsen</w:t>
            </w:r>
            <w:r>
              <w:rPr>
                <w:noProof/>
                <w:webHidden/>
              </w:rPr>
              <w:tab/>
            </w:r>
            <w:r>
              <w:rPr>
                <w:noProof/>
                <w:webHidden/>
              </w:rPr>
              <w:fldChar w:fldCharType="begin"/>
            </w:r>
            <w:r>
              <w:rPr>
                <w:noProof/>
                <w:webHidden/>
              </w:rPr>
              <w:instrText xml:space="preserve"> PAGEREF _Toc218449559 \h </w:instrText>
            </w:r>
            <w:r>
              <w:rPr>
                <w:noProof/>
                <w:webHidden/>
              </w:rPr>
            </w:r>
            <w:r>
              <w:rPr>
                <w:noProof/>
                <w:webHidden/>
              </w:rPr>
              <w:fldChar w:fldCharType="separate"/>
            </w:r>
            <w:r>
              <w:rPr>
                <w:noProof/>
                <w:webHidden/>
              </w:rPr>
              <w:t>24</w:t>
            </w:r>
            <w:r>
              <w:rPr>
                <w:noProof/>
                <w:webHidden/>
              </w:rPr>
              <w:fldChar w:fldCharType="end"/>
            </w:r>
          </w:hyperlink>
        </w:p>
        <w:p w14:paraId="14D9C75B" w14:textId="04326786" w:rsidR="001D51BF" w:rsidRDefault="001D51BF">
          <w:pPr>
            <w:pStyle w:val="TOC2"/>
            <w:tabs>
              <w:tab w:val="right" w:leader="dot" w:pos="9016"/>
            </w:tabs>
            <w:rPr>
              <w:rFonts w:cstheme="minorBidi"/>
              <w:noProof/>
              <w:kern w:val="2"/>
              <w:sz w:val="24"/>
              <w:szCs w:val="24"/>
              <w14:ligatures w14:val="standardContextual"/>
            </w:rPr>
          </w:pPr>
          <w:hyperlink w:anchor="_Toc218449560" w:history="1">
            <w:r w:rsidRPr="00EF1F60">
              <w:rPr>
                <w:rStyle w:val="Hyperlink"/>
                <w:noProof/>
              </w:rPr>
              <w:t>5.1 Conclusie speciale fondsen</w:t>
            </w:r>
            <w:r>
              <w:rPr>
                <w:noProof/>
                <w:webHidden/>
              </w:rPr>
              <w:tab/>
            </w:r>
            <w:r>
              <w:rPr>
                <w:noProof/>
                <w:webHidden/>
              </w:rPr>
              <w:fldChar w:fldCharType="begin"/>
            </w:r>
            <w:r>
              <w:rPr>
                <w:noProof/>
                <w:webHidden/>
              </w:rPr>
              <w:instrText xml:space="preserve"> PAGEREF _Toc218449560 \h </w:instrText>
            </w:r>
            <w:r>
              <w:rPr>
                <w:noProof/>
                <w:webHidden/>
              </w:rPr>
            </w:r>
            <w:r>
              <w:rPr>
                <w:noProof/>
                <w:webHidden/>
              </w:rPr>
              <w:fldChar w:fldCharType="separate"/>
            </w:r>
            <w:r>
              <w:rPr>
                <w:noProof/>
                <w:webHidden/>
              </w:rPr>
              <w:t>28</w:t>
            </w:r>
            <w:r>
              <w:rPr>
                <w:noProof/>
                <w:webHidden/>
              </w:rPr>
              <w:fldChar w:fldCharType="end"/>
            </w:r>
          </w:hyperlink>
        </w:p>
        <w:p w14:paraId="01C1B074" w14:textId="2FB386E9" w:rsidR="001D51BF" w:rsidRDefault="001D51BF">
          <w:pPr>
            <w:pStyle w:val="TOC1"/>
            <w:tabs>
              <w:tab w:val="right" w:leader="dot" w:pos="9016"/>
            </w:tabs>
            <w:rPr>
              <w:rFonts w:cstheme="minorBidi"/>
              <w:noProof/>
              <w:kern w:val="2"/>
              <w:sz w:val="24"/>
              <w:szCs w:val="24"/>
              <w14:ligatures w14:val="standardContextual"/>
            </w:rPr>
          </w:pPr>
          <w:hyperlink w:anchor="_Toc218449561" w:history="1">
            <w:r w:rsidRPr="00EF1F60">
              <w:rPr>
                <w:rStyle w:val="Hyperlink"/>
                <w:noProof/>
              </w:rPr>
              <w:t>6.  Samenvattende conclusie aandelenfondsen</w:t>
            </w:r>
            <w:r>
              <w:rPr>
                <w:noProof/>
                <w:webHidden/>
              </w:rPr>
              <w:tab/>
            </w:r>
            <w:r>
              <w:rPr>
                <w:noProof/>
                <w:webHidden/>
              </w:rPr>
              <w:fldChar w:fldCharType="begin"/>
            </w:r>
            <w:r>
              <w:rPr>
                <w:noProof/>
                <w:webHidden/>
              </w:rPr>
              <w:instrText xml:space="preserve"> PAGEREF _Toc218449561 \h </w:instrText>
            </w:r>
            <w:r>
              <w:rPr>
                <w:noProof/>
                <w:webHidden/>
              </w:rPr>
            </w:r>
            <w:r>
              <w:rPr>
                <w:noProof/>
                <w:webHidden/>
              </w:rPr>
              <w:fldChar w:fldCharType="separate"/>
            </w:r>
            <w:r>
              <w:rPr>
                <w:noProof/>
                <w:webHidden/>
              </w:rPr>
              <w:t>29</w:t>
            </w:r>
            <w:r>
              <w:rPr>
                <w:noProof/>
                <w:webHidden/>
              </w:rPr>
              <w:fldChar w:fldCharType="end"/>
            </w:r>
          </w:hyperlink>
        </w:p>
        <w:p w14:paraId="7E9AF3B4" w14:textId="074EF4EF" w:rsidR="001D51BF" w:rsidRDefault="001D51BF">
          <w:pPr>
            <w:pStyle w:val="TOC2"/>
            <w:tabs>
              <w:tab w:val="right" w:leader="dot" w:pos="9016"/>
            </w:tabs>
            <w:rPr>
              <w:rFonts w:cstheme="minorBidi"/>
              <w:noProof/>
              <w:kern w:val="2"/>
              <w:sz w:val="24"/>
              <w:szCs w:val="24"/>
              <w14:ligatures w14:val="standardContextual"/>
            </w:rPr>
          </w:pPr>
          <w:hyperlink w:anchor="_Toc218449562" w:history="1">
            <w:r w:rsidRPr="00EF1F60">
              <w:rPr>
                <w:rStyle w:val="Hyperlink"/>
                <w:noProof/>
                <w:lang w:val="en-US"/>
              </w:rPr>
              <w:t>6.1 Beslissingsmatrix – Wereldwijde aandelenfondsen</w:t>
            </w:r>
            <w:r>
              <w:rPr>
                <w:noProof/>
                <w:webHidden/>
              </w:rPr>
              <w:tab/>
            </w:r>
            <w:r>
              <w:rPr>
                <w:noProof/>
                <w:webHidden/>
              </w:rPr>
              <w:fldChar w:fldCharType="begin"/>
            </w:r>
            <w:r>
              <w:rPr>
                <w:noProof/>
                <w:webHidden/>
              </w:rPr>
              <w:instrText xml:space="preserve"> PAGEREF _Toc218449562 \h </w:instrText>
            </w:r>
            <w:r>
              <w:rPr>
                <w:noProof/>
                <w:webHidden/>
              </w:rPr>
            </w:r>
            <w:r>
              <w:rPr>
                <w:noProof/>
                <w:webHidden/>
              </w:rPr>
              <w:fldChar w:fldCharType="separate"/>
            </w:r>
            <w:r>
              <w:rPr>
                <w:noProof/>
                <w:webHidden/>
              </w:rPr>
              <w:t>30</w:t>
            </w:r>
            <w:r>
              <w:rPr>
                <w:noProof/>
                <w:webHidden/>
              </w:rPr>
              <w:fldChar w:fldCharType="end"/>
            </w:r>
          </w:hyperlink>
        </w:p>
        <w:p w14:paraId="19844EFC" w14:textId="42D39F3F" w:rsidR="001D51BF" w:rsidRDefault="001D51BF">
          <w:pPr>
            <w:pStyle w:val="TOC2"/>
            <w:tabs>
              <w:tab w:val="right" w:leader="dot" w:pos="9016"/>
            </w:tabs>
            <w:rPr>
              <w:rFonts w:cstheme="minorBidi"/>
              <w:noProof/>
              <w:kern w:val="2"/>
              <w:sz w:val="24"/>
              <w:szCs w:val="24"/>
              <w14:ligatures w14:val="standardContextual"/>
            </w:rPr>
          </w:pPr>
          <w:hyperlink w:anchor="_Toc218449563" w:history="1">
            <w:r w:rsidRPr="00EF1F60">
              <w:rPr>
                <w:rStyle w:val="Hyperlink"/>
                <w:noProof/>
              </w:rPr>
              <w:t>6.2 Beslissingsmatrix – Speciale duurzame fondsen</w:t>
            </w:r>
            <w:r>
              <w:rPr>
                <w:noProof/>
                <w:webHidden/>
              </w:rPr>
              <w:tab/>
            </w:r>
            <w:r>
              <w:rPr>
                <w:noProof/>
                <w:webHidden/>
              </w:rPr>
              <w:fldChar w:fldCharType="begin"/>
            </w:r>
            <w:r>
              <w:rPr>
                <w:noProof/>
                <w:webHidden/>
              </w:rPr>
              <w:instrText xml:space="preserve"> PAGEREF _Toc218449563 \h </w:instrText>
            </w:r>
            <w:r>
              <w:rPr>
                <w:noProof/>
                <w:webHidden/>
              </w:rPr>
            </w:r>
            <w:r>
              <w:rPr>
                <w:noProof/>
                <w:webHidden/>
              </w:rPr>
              <w:fldChar w:fldCharType="separate"/>
            </w:r>
            <w:r>
              <w:rPr>
                <w:noProof/>
                <w:webHidden/>
              </w:rPr>
              <w:t>31</w:t>
            </w:r>
            <w:r>
              <w:rPr>
                <w:noProof/>
                <w:webHidden/>
              </w:rPr>
              <w:fldChar w:fldCharType="end"/>
            </w:r>
          </w:hyperlink>
        </w:p>
        <w:p w14:paraId="03D6D711" w14:textId="18B6D400" w:rsidR="001D51BF" w:rsidRDefault="001D51BF">
          <w:pPr>
            <w:pStyle w:val="TOC1"/>
            <w:tabs>
              <w:tab w:val="right" w:leader="dot" w:pos="9016"/>
            </w:tabs>
            <w:rPr>
              <w:rFonts w:cstheme="minorBidi"/>
              <w:noProof/>
              <w:kern w:val="2"/>
              <w:sz w:val="24"/>
              <w:szCs w:val="24"/>
              <w14:ligatures w14:val="standardContextual"/>
            </w:rPr>
          </w:pPr>
          <w:hyperlink w:anchor="_Toc218449564" w:history="1">
            <w:r w:rsidRPr="00EF1F60">
              <w:rPr>
                <w:rStyle w:val="Hyperlink"/>
                <w:noProof/>
                <w:lang w:val="en-US"/>
              </w:rPr>
              <w:t>7. Selectie obligatiefondsen</w:t>
            </w:r>
            <w:r>
              <w:rPr>
                <w:noProof/>
                <w:webHidden/>
              </w:rPr>
              <w:tab/>
            </w:r>
            <w:r>
              <w:rPr>
                <w:noProof/>
                <w:webHidden/>
              </w:rPr>
              <w:fldChar w:fldCharType="begin"/>
            </w:r>
            <w:r>
              <w:rPr>
                <w:noProof/>
                <w:webHidden/>
              </w:rPr>
              <w:instrText xml:space="preserve"> PAGEREF _Toc218449564 \h </w:instrText>
            </w:r>
            <w:r>
              <w:rPr>
                <w:noProof/>
                <w:webHidden/>
              </w:rPr>
            </w:r>
            <w:r>
              <w:rPr>
                <w:noProof/>
                <w:webHidden/>
              </w:rPr>
              <w:fldChar w:fldCharType="separate"/>
            </w:r>
            <w:r>
              <w:rPr>
                <w:noProof/>
                <w:webHidden/>
              </w:rPr>
              <w:t>33</w:t>
            </w:r>
            <w:r>
              <w:rPr>
                <w:noProof/>
                <w:webHidden/>
              </w:rPr>
              <w:fldChar w:fldCharType="end"/>
            </w:r>
          </w:hyperlink>
        </w:p>
        <w:p w14:paraId="64055F85" w14:textId="624FB31B" w:rsidR="001D51BF" w:rsidRDefault="001D51BF">
          <w:pPr>
            <w:pStyle w:val="TOC2"/>
            <w:tabs>
              <w:tab w:val="right" w:leader="dot" w:pos="9016"/>
            </w:tabs>
            <w:rPr>
              <w:rFonts w:cstheme="minorBidi"/>
              <w:noProof/>
              <w:kern w:val="2"/>
              <w:sz w:val="24"/>
              <w:szCs w:val="24"/>
              <w14:ligatures w14:val="standardContextual"/>
            </w:rPr>
          </w:pPr>
          <w:hyperlink w:anchor="_Toc218449565" w:history="1">
            <w:r w:rsidRPr="00EF1F60">
              <w:rPr>
                <w:rStyle w:val="Hyperlink"/>
                <w:noProof/>
              </w:rPr>
              <w:t>7.1 Beslissingsmatrix BNP Paribas Asset Management</w:t>
            </w:r>
            <w:r>
              <w:rPr>
                <w:noProof/>
                <w:webHidden/>
              </w:rPr>
              <w:tab/>
            </w:r>
            <w:r>
              <w:rPr>
                <w:noProof/>
                <w:webHidden/>
              </w:rPr>
              <w:fldChar w:fldCharType="begin"/>
            </w:r>
            <w:r>
              <w:rPr>
                <w:noProof/>
                <w:webHidden/>
              </w:rPr>
              <w:instrText xml:space="preserve"> PAGEREF _Toc218449565 \h </w:instrText>
            </w:r>
            <w:r>
              <w:rPr>
                <w:noProof/>
                <w:webHidden/>
              </w:rPr>
            </w:r>
            <w:r>
              <w:rPr>
                <w:noProof/>
                <w:webHidden/>
              </w:rPr>
              <w:fldChar w:fldCharType="separate"/>
            </w:r>
            <w:r>
              <w:rPr>
                <w:noProof/>
                <w:webHidden/>
              </w:rPr>
              <w:t>33</w:t>
            </w:r>
            <w:r>
              <w:rPr>
                <w:noProof/>
                <w:webHidden/>
              </w:rPr>
              <w:fldChar w:fldCharType="end"/>
            </w:r>
          </w:hyperlink>
        </w:p>
        <w:p w14:paraId="3D2E61EF" w14:textId="0BDB361C" w:rsidR="001D51BF" w:rsidRDefault="001D51BF">
          <w:pPr>
            <w:pStyle w:val="TOC2"/>
            <w:tabs>
              <w:tab w:val="right" w:leader="dot" w:pos="9016"/>
            </w:tabs>
            <w:rPr>
              <w:rFonts w:cstheme="minorBidi"/>
              <w:noProof/>
              <w:kern w:val="2"/>
              <w:sz w:val="24"/>
              <w:szCs w:val="24"/>
              <w14:ligatures w14:val="standardContextual"/>
            </w:rPr>
          </w:pPr>
          <w:hyperlink w:anchor="_Toc218449566" w:history="1">
            <w:r w:rsidRPr="00EF1F60">
              <w:rPr>
                <w:rStyle w:val="Hyperlink"/>
                <w:noProof/>
              </w:rPr>
              <w:t>7.2 Beslissingsmatrix Blackrock</w:t>
            </w:r>
            <w:r>
              <w:rPr>
                <w:noProof/>
                <w:webHidden/>
              </w:rPr>
              <w:tab/>
            </w:r>
            <w:r>
              <w:rPr>
                <w:noProof/>
                <w:webHidden/>
              </w:rPr>
              <w:fldChar w:fldCharType="begin"/>
            </w:r>
            <w:r>
              <w:rPr>
                <w:noProof/>
                <w:webHidden/>
              </w:rPr>
              <w:instrText xml:space="preserve"> PAGEREF _Toc218449566 \h </w:instrText>
            </w:r>
            <w:r>
              <w:rPr>
                <w:noProof/>
                <w:webHidden/>
              </w:rPr>
            </w:r>
            <w:r>
              <w:rPr>
                <w:noProof/>
                <w:webHidden/>
              </w:rPr>
              <w:fldChar w:fldCharType="separate"/>
            </w:r>
            <w:r>
              <w:rPr>
                <w:noProof/>
                <w:webHidden/>
              </w:rPr>
              <w:t>34</w:t>
            </w:r>
            <w:r>
              <w:rPr>
                <w:noProof/>
                <w:webHidden/>
              </w:rPr>
              <w:fldChar w:fldCharType="end"/>
            </w:r>
          </w:hyperlink>
        </w:p>
        <w:p w14:paraId="376FE7E4" w14:textId="659AE26F" w:rsidR="001D51BF" w:rsidRDefault="001D51BF">
          <w:pPr>
            <w:pStyle w:val="TOC2"/>
            <w:tabs>
              <w:tab w:val="right" w:leader="dot" w:pos="9016"/>
            </w:tabs>
            <w:rPr>
              <w:rFonts w:cstheme="minorBidi"/>
              <w:noProof/>
              <w:kern w:val="2"/>
              <w:sz w:val="24"/>
              <w:szCs w:val="24"/>
              <w14:ligatures w14:val="standardContextual"/>
            </w:rPr>
          </w:pPr>
          <w:hyperlink w:anchor="_Toc218449567" w:history="1">
            <w:r w:rsidRPr="00EF1F60">
              <w:rPr>
                <w:rStyle w:val="Hyperlink"/>
                <w:noProof/>
              </w:rPr>
              <w:t>7.3 Toelichting beslissingsmatrix</w:t>
            </w:r>
            <w:r>
              <w:rPr>
                <w:noProof/>
                <w:webHidden/>
              </w:rPr>
              <w:tab/>
            </w:r>
            <w:r>
              <w:rPr>
                <w:noProof/>
                <w:webHidden/>
              </w:rPr>
              <w:fldChar w:fldCharType="begin"/>
            </w:r>
            <w:r>
              <w:rPr>
                <w:noProof/>
                <w:webHidden/>
              </w:rPr>
              <w:instrText xml:space="preserve"> PAGEREF _Toc218449567 \h </w:instrText>
            </w:r>
            <w:r>
              <w:rPr>
                <w:noProof/>
                <w:webHidden/>
              </w:rPr>
            </w:r>
            <w:r>
              <w:rPr>
                <w:noProof/>
                <w:webHidden/>
              </w:rPr>
              <w:fldChar w:fldCharType="separate"/>
            </w:r>
            <w:r>
              <w:rPr>
                <w:noProof/>
                <w:webHidden/>
              </w:rPr>
              <w:t>35</w:t>
            </w:r>
            <w:r>
              <w:rPr>
                <w:noProof/>
                <w:webHidden/>
              </w:rPr>
              <w:fldChar w:fldCharType="end"/>
            </w:r>
          </w:hyperlink>
        </w:p>
        <w:p w14:paraId="5B1FD60A" w14:textId="1843DA45" w:rsidR="001D51BF" w:rsidRDefault="001D51BF">
          <w:pPr>
            <w:pStyle w:val="TOC2"/>
            <w:tabs>
              <w:tab w:val="right" w:leader="dot" w:pos="9016"/>
            </w:tabs>
            <w:rPr>
              <w:rFonts w:cstheme="minorBidi"/>
              <w:noProof/>
              <w:kern w:val="2"/>
              <w:sz w:val="24"/>
              <w:szCs w:val="24"/>
              <w14:ligatures w14:val="standardContextual"/>
            </w:rPr>
          </w:pPr>
          <w:hyperlink w:anchor="_Toc218449568" w:history="1">
            <w:r w:rsidRPr="00EF1F60">
              <w:rPr>
                <w:rStyle w:val="Hyperlink"/>
                <w:noProof/>
                <w:lang w:val="en-GB"/>
              </w:rPr>
              <w:t xml:space="preserve">7.4 </w:t>
            </w:r>
            <w:r w:rsidRPr="00EF1F60">
              <w:rPr>
                <w:rStyle w:val="Hyperlink"/>
                <w:noProof/>
              </w:rPr>
              <w:t>Vergelijking obligatiefondsen</w:t>
            </w:r>
            <w:r>
              <w:rPr>
                <w:noProof/>
                <w:webHidden/>
              </w:rPr>
              <w:tab/>
            </w:r>
            <w:r>
              <w:rPr>
                <w:noProof/>
                <w:webHidden/>
              </w:rPr>
              <w:fldChar w:fldCharType="begin"/>
            </w:r>
            <w:r>
              <w:rPr>
                <w:noProof/>
                <w:webHidden/>
              </w:rPr>
              <w:instrText xml:space="preserve"> PAGEREF _Toc218449568 \h </w:instrText>
            </w:r>
            <w:r>
              <w:rPr>
                <w:noProof/>
                <w:webHidden/>
              </w:rPr>
            </w:r>
            <w:r>
              <w:rPr>
                <w:noProof/>
                <w:webHidden/>
              </w:rPr>
              <w:fldChar w:fldCharType="separate"/>
            </w:r>
            <w:r>
              <w:rPr>
                <w:noProof/>
                <w:webHidden/>
              </w:rPr>
              <w:t>37</w:t>
            </w:r>
            <w:r>
              <w:rPr>
                <w:noProof/>
                <w:webHidden/>
              </w:rPr>
              <w:fldChar w:fldCharType="end"/>
            </w:r>
          </w:hyperlink>
        </w:p>
        <w:p w14:paraId="6F633105" w14:textId="2ACCB6CF" w:rsidR="001D51BF" w:rsidRDefault="001D51BF">
          <w:pPr>
            <w:pStyle w:val="TOC2"/>
            <w:tabs>
              <w:tab w:val="right" w:leader="dot" w:pos="9016"/>
            </w:tabs>
            <w:rPr>
              <w:rFonts w:cstheme="minorBidi"/>
              <w:noProof/>
              <w:kern w:val="2"/>
              <w:sz w:val="24"/>
              <w:szCs w:val="24"/>
              <w14:ligatures w14:val="standardContextual"/>
            </w:rPr>
          </w:pPr>
          <w:hyperlink w:anchor="_Toc218449569" w:history="1">
            <w:r w:rsidRPr="00EF1F60">
              <w:rPr>
                <w:rStyle w:val="Hyperlink"/>
                <w:noProof/>
              </w:rPr>
              <w:t>7.5 Eindconclusie: Beste obligatiefonds</w:t>
            </w:r>
            <w:r>
              <w:rPr>
                <w:noProof/>
                <w:webHidden/>
              </w:rPr>
              <w:tab/>
            </w:r>
            <w:r>
              <w:rPr>
                <w:noProof/>
                <w:webHidden/>
              </w:rPr>
              <w:fldChar w:fldCharType="begin"/>
            </w:r>
            <w:r>
              <w:rPr>
                <w:noProof/>
                <w:webHidden/>
              </w:rPr>
              <w:instrText xml:space="preserve"> PAGEREF _Toc218449569 \h </w:instrText>
            </w:r>
            <w:r>
              <w:rPr>
                <w:noProof/>
                <w:webHidden/>
              </w:rPr>
            </w:r>
            <w:r>
              <w:rPr>
                <w:noProof/>
                <w:webHidden/>
              </w:rPr>
              <w:fldChar w:fldCharType="separate"/>
            </w:r>
            <w:r>
              <w:rPr>
                <w:noProof/>
                <w:webHidden/>
              </w:rPr>
              <w:t>39</w:t>
            </w:r>
            <w:r>
              <w:rPr>
                <w:noProof/>
                <w:webHidden/>
              </w:rPr>
              <w:fldChar w:fldCharType="end"/>
            </w:r>
          </w:hyperlink>
        </w:p>
        <w:p w14:paraId="4B5C8287" w14:textId="01515B6B" w:rsidR="001D51BF" w:rsidRDefault="001D51BF">
          <w:pPr>
            <w:pStyle w:val="TOC1"/>
            <w:tabs>
              <w:tab w:val="right" w:leader="dot" w:pos="9016"/>
            </w:tabs>
            <w:rPr>
              <w:rFonts w:cstheme="minorBidi"/>
              <w:noProof/>
              <w:kern w:val="2"/>
              <w:sz w:val="24"/>
              <w:szCs w:val="24"/>
              <w14:ligatures w14:val="standardContextual"/>
            </w:rPr>
          </w:pPr>
          <w:hyperlink w:anchor="_Toc218449570" w:history="1">
            <w:r w:rsidRPr="00EF1F60">
              <w:rPr>
                <w:rStyle w:val="Hyperlink"/>
                <w:noProof/>
                <w:lang w:val="en-US"/>
              </w:rPr>
              <w:t>8. Bibliografie</w:t>
            </w:r>
            <w:r>
              <w:rPr>
                <w:noProof/>
                <w:webHidden/>
              </w:rPr>
              <w:tab/>
            </w:r>
            <w:r>
              <w:rPr>
                <w:noProof/>
                <w:webHidden/>
              </w:rPr>
              <w:fldChar w:fldCharType="begin"/>
            </w:r>
            <w:r>
              <w:rPr>
                <w:noProof/>
                <w:webHidden/>
              </w:rPr>
              <w:instrText xml:space="preserve"> PAGEREF _Toc218449570 \h </w:instrText>
            </w:r>
            <w:r>
              <w:rPr>
                <w:noProof/>
                <w:webHidden/>
              </w:rPr>
            </w:r>
            <w:r>
              <w:rPr>
                <w:noProof/>
                <w:webHidden/>
              </w:rPr>
              <w:fldChar w:fldCharType="separate"/>
            </w:r>
            <w:r>
              <w:rPr>
                <w:noProof/>
                <w:webHidden/>
              </w:rPr>
              <w:t>40</w:t>
            </w:r>
            <w:r>
              <w:rPr>
                <w:noProof/>
                <w:webHidden/>
              </w:rPr>
              <w:fldChar w:fldCharType="end"/>
            </w:r>
          </w:hyperlink>
        </w:p>
        <w:p w14:paraId="722452C5" w14:textId="37085CAB" w:rsidR="00003051" w:rsidRDefault="00003051">
          <w:r>
            <w:rPr>
              <w:b/>
              <w:bCs/>
            </w:rPr>
            <w:fldChar w:fldCharType="end"/>
          </w:r>
        </w:p>
      </w:sdtContent>
    </w:sdt>
    <w:p w14:paraId="7CDFE8E4" w14:textId="77777777" w:rsidR="00FA55E4" w:rsidRDefault="00FA55E4" w:rsidP="00B47B45">
      <w:pPr>
        <w:rPr>
          <w:b/>
          <w:bCs/>
        </w:rPr>
      </w:pPr>
    </w:p>
    <w:p w14:paraId="581BE080" w14:textId="29BF7283" w:rsidR="00D92BE7" w:rsidRDefault="00D92BE7" w:rsidP="00D92BE7">
      <w:pPr>
        <w:pStyle w:val="Heading1"/>
      </w:pPr>
      <w:bookmarkStart w:id="1" w:name="_Toc218449540"/>
      <w:r>
        <w:t>1. Selectievermogensbeheerders</w:t>
      </w:r>
      <w:bookmarkEnd w:id="1"/>
    </w:p>
    <w:p w14:paraId="7787F5C8" w14:textId="6B4AD54C" w:rsidR="00B47B45" w:rsidRPr="000B6816" w:rsidRDefault="00D92BE7" w:rsidP="00D92BE7">
      <w:pPr>
        <w:pStyle w:val="Heading2"/>
        <w:rPr>
          <w:sz w:val="32"/>
          <w:szCs w:val="32"/>
        </w:rPr>
      </w:pPr>
      <w:bookmarkStart w:id="2" w:name="_Toc218449541"/>
      <w:r w:rsidRPr="000B6816">
        <w:rPr>
          <w:sz w:val="32"/>
          <w:szCs w:val="32"/>
        </w:rPr>
        <w:t xml:space="preserve">1.1 </w:t>
      </w:r>
      <w:r w:rsidR="00B47B45" w:rsidRPr="000B6816">
        <w:rPr>
          <w:sz w:val="32"/>
          <w:szCs w:val="32"/>
        </w:rPr>
        <w:t>Inleiding</w:t>
      </w:r>
      <w:r w:rsidR="00BC0102" w:rsidRPr="000B6816">
        <w:rPr>
          <w:sz w:val="32"/>
          <w:szCs w:val="32"/>
        </w:rPr>
        <w:t xml:space="preserve"> selectievermogensbeheerders</w:t>
      </w:r>
      <w:bookmarkEnd w:id="2"/>
    </w:p>
    <w:p w14:paraId="35ECEE9F" w14:textId="77777777" w:rsidR="00B47B45" w:rsidRPr="00B47B45" w:rsidRDefault="00B47B45" w:rsidP="00B47B45">
      <w:r w:rsidRPr="00B47B45">
        <w:t xml:space="preserve">In deze analyse worden vier vermogensbeheerders beoordeeld aan de hand van drie door de opleiding voorgeschreven criteria: duurzaamheidsbeleid, </w:t>
      </w:r>
      <w:proofErr w:type="spellStart"/>
      <w:r w:rsidRPr="00B47B45">
        <w:t>governance</w:t>
      </w:r>
      <w:proofErr w:type="spellEnd"/>
      <w:r w:rsidRPr="00B47B45">
        <w:t xml:space="preserve"> en bad </w:t>
      </w:r>
      <w:proofErr w:type="spellStart"/>
      <w:r w:rsidRPr="00B47B45">
        <w:t>press</w:t>
      </w:r>
      <w:proofErr w:type="spellEnd"/>
      <w:r w:rsidRPr="00B47B45">
        <w:t>. Deze criteria geven gezamenlijk inzicht in de mate waarin een aanbieder verantwoord, transparant en toekomstbestendig opereert binnen de beleggingssector. Door de factoren systematisch te analyseren, kan worden vastgesteld in hoeverre een vermogensbeheerder passend is binnen een duurzaam advieskader.</w:t>
      </w:r>
    </w:p>
    <w:p w14:paraId="5D8B1211" w14:textId="77777777" w:rsidR="00B47B45" w:rsidRPr="00B47B45" w:rsidRDefault="00B47B45" w:rsidP="00B47B45">
      <w:r w:rsidRPr="00B47B45">
        <w:t xml:space="preserve">Voor iedere aanbieder wordt een kwalitatieve analyse uitgevoerd op de drie criteria, gevolgd door een waardering op een schaal van 0–10. Vervolgens worden deze scores gewogen volgens de voorgeschreven verdeling: 60% voor duurzaamheidsbeleid, 30% voor </w:t>
      </w:r>
      <w:proofErr w:type="spellStart"/>
      <w:r w:rsidRPr="00B47B45">
        <w:t>governance</w:t>
      </w:r>
      <w:proofErr w:type="spellEnd"/>
      <w:r w:rsidRPr="00B47B45">
        <w:t xml:space="preserve"> en 10% voor bad </w:t>
      </w:r>
      <w:proofErr w:type="spellStart"/>
      <w:r w:rsidRPr="00B47B45">
        <w:t>press</w:t>
      </w:r>
      <w:proofErr w:type="spellEnd"/>
      <w:r w:rsidRPr="00B47B45">
        <w:t>. Op basis van de totaalscores wordt vastgesteld welke aanbieder het meest geschikt is binnen deze beoordelingskaders.</w:t>
      </w:r>
    </w:p>
    <w:p w14:paraId="3B40FAE1" w14:textId="55BD7129" w:rsidR="00B47B45" w:rsidRDefault="00B47B45" w:rsidP="00B47B45"/>
    <w:p w14:paraId="220A1ED7" w14:textId="77777777" w:rsidR="000B6816" w:rsidRDefault="000B6816" w:rsidP="00B47B45"/>
    <w:p w14:paraId="3EB23626" w14:textId="77777777" w:rsidR="000B6816" w:rsidRDefault="000B6816" w:rsidP="00B47B45"/>
    <w:p w14:paraId="450F8A7A" w14:textId="77777777" w:rsidR="000B6816" w:rsidRDefault="000B6816" w:rsidP="00B47B45"/>
    <w:p w14:paraId="3F3B4B45" w14:textId="77777777" w:rsidR="000B6816" w:rsidRDefault="000B6816" w:rsidP="00B47B45"/>
    <w:p w14:paraId="449D77DB" w14:textId="77777777" w:rsidR="000B6816" w:rsidRDefault="000B6816" w:rsidP="00B47B45"/>
    <w:p w14:paraId="2D41D554" w14:textId="77777777" w:rsidR="000B6816" w:rsidRDefault="000B6816" w:rsidP="00B47B45"/>
    <w:p w14:paraId="47316A02" w14:textId="77777777" w:rsidR="000B6816" w:rsidRDefault="000B6816" w:rsidP="00B47B45"/>
    <w:p w14:paraId="58D25D66" w14:textId="77777777" w:rsidR="000B6816" w:rsidRDefault="000B6816" w:rsidP="00B47B45"/>
    <w:p w14:paraId="1332E03E" w14:textId="77777777" w:rsidR="000B6816" w:rsidRDefault="000B6816" w:rsidP="00B47B45"/>
    <w:p w14:paraId="786633CA" w14:textId="77777777" w:rsidR="000B6816" w:rsidRDefault="000B6816" w:rsidP="00B47B45"/>
    <w:p w14:paraId="6DA577C1" w14:textId="77777777" w:rsidR="000B6816" w:rsidRDefault="000B6816" w:rsidP="00B47B45"/>
    <w:p w14:paraId="3B7A3C3D" w14:textId="77777777" w:rsidR="000B6816" w:rsidRDefault="000B6816" w:rsidP="00B47B45"/>
    <w:p w14:paraId="4A8DF01C" w14:textId="77777777" w:rsidR="000B6816" w:rsidRPr="00B47B45" w:rsidRDefault="000B6816" w:rsidP="00B47B45"/>
    <w:p w14:paraId="46E5685F" w14:textId="541C3394" w:rsidR="00B47B45" w:rsidRPr="00B47B45" w:rsidRDefault="00D92BE7" w:rsidP="00D92BE7">
      <w:pPr>
        <w:pStyle w:val="Heading2"/>
      </w:pPr>
      <w:bookmarkStart w:id="3" w:name="_Toc218449542"/>
      <w:r w:rsidRPr="000B6816">
        <w:rPr>
          <w:sz w:val="32"/>
          <w:szCs w:val="32"/>
        </w:rPr>
        <w:t>1.2</w:t>
      </w:r>
      <w:r w:rsidR="009A704A" w:rsidRPr="000B6816">
        <w:rPr>
          <w:sz w:val="32"/>
          <w:szCs w:val="32"/>
        </w:rPr>
        <w:t xml:space="preserve"> </w:t>
      </w:r>
      <w:r w:rsidR="00B47B45" w:rsidRPr="000B6816">
        <w:rPr>
          <w:sz w:val="32"/>
          <w:szCs w:val="32"/>
        </w:rPr>
        <w:t>Analyse van de vermogensbeheerders</w:t>
      </w:r>
      <w:bookmarkEnd w:id="3"/>
      <w:r>
        <w:br/>
      </w:r>
    </w:p>
    <w:p w14:paraId="69E1EE29" w14:textId="4F892B50" w:rsidR="00B47B45" w:rsidRPr="00B47B45" w:rsidRDefault="00D92BE7" w:rsidP="000B6816">
      <w:pPr>
        <w:pStyle w:val="Heading3"/>
      </w:pPr>
      <w:bookmarkStart w:id="4" w:name="_Toc218449543"/>
      <w:r>
        <w:t>1.2.1</w:t>
      </w:r>
      <w:r w:rsidR="000B6816">
        <w:t xml:space="preserve"> </w:t>
      </w:r>
      <w:proofErr w:type="spellStart"/>
      <w:r w:rsidR="00B47B45" w:rsidRPr="00B47B45">
        <w:t>Amundi</w:t>
      </w:r>
      <w:bookmarkEnd w:id="4"/>
      <w:proofErr w:type="spellEnd"/>
    </w:p>
    <w:p w14:paraId="4483DA78" w14:textId="19A76C01" w:rsidR="00B47B45" w:rsidRPr="00D92BE7" w:rsidRDefault="00B47B45" w:rsidP="00B47B45">
      <w:pPr>
        <w:rPr>
          <w:b/>
          <w:bCs/>
        </w:rPr>
      </w:pPr>
      <w:r w:rsidRPr="00B47B45">
        <w:rPr>
          <w:b/>
          <w:bCs/>
        </w:rPr>
        <w:t>Duurzaamheidsbeleid</w:t>
      </w:r>
      <w:r w:rsidR="00D92BE7">
        <w:rPr>
          <w:b/>
          <w:bCs/>
        </w:rPr>
        <w:br/>
      </w:r>
      <w:proofErr w:type="spellStart"/>
      <w:r w:rsidRPr="00D92BE7">
        <w:t>Amundi</w:t>
      </w:r>
      <w:proofErr w:type="spellEnd"/>
      <w:r w:rsidRPr="00D92BE7">
        <w:t xml:space="preserve"> beschrijft in de </w:t>
      </w:r>
      <w:r w:rsidRPr="00D92BE7">
        <w:rPr>
          <w:i/>
          <w:iCs/>
        </w:rPr>
        <w:t xml:space="preserve">Global </w:t>
      </w:r>
      <w:proofErr w:type="spellStart"/>
      <w:r w:rsidRPr="00D92BE7">
        <w:rPr>
          <w:i/>
          <w:iCs/>
        </w:rPr>
        <w:t>Responsible</w:t>
      </w:r>
      <w:proofErr w:type="spellEnd"/>
      <w:r w:rsidRPr="00D92BE7">
        <w:rPr>
          <w:i/>
          <w:iCs/>
        </w:rPr>
        <w:t xml:space="preserve"> Investment Policy</w:t>
      </w:r>
      <w:r w:rsidRPr="00D92BE7">
        <w:t xml:space="preserve"> dat ESG-factoren structureel onderdeel zijn van zowel actief als passief portefeuillebeheer (</w:t>
      </w:r>
      <w:proofErr w:type="spellStart"/>
      <w:r w:rsidRPr="00D92BE7">
        <w:t>Amundi</w:t>
      </w:r>
      <w:proofErr w:type="spellEnd"/>
      <w:r w:rsidRPr="00D92BE7">
        <w:t xml:space="preserve">, 2023). Het beleid omvat onder andere uitsluitingen voor controversiële wapens, een aangescherpte klimaataanpak en aandacht voor energietransitie en biodiversiteit. </w:t>
      </w:r>
      <w:proofErr w:type="spellStart"/>
      <w:r w:rsidRPr="00D92BE7">
        <w:t>Amundi</w:t>
      </w:r>
      <w:proofErr w:type="spellEnd"/>
      <w:r w:rsidRPr="00D92BE7">
        <w:t xml:space="preserve"> beheert daarnaast een groot aantal SFDR-Artikel 8-fondsen en een groeiend aantal Artikel 9-fondsen, wat duidt op een sterke focus op duurzaamheid. De toepassing is echter heterogeen: niet alle fondsen zijn even streng of impactgericht.</w:t>
      </w:r>
      <w:r w:rsidRPr="00D92BE7">
        <w:br/>
        <w:t>Score duurzaamheidsbeleid: 8/10.</w:t>
      </w:r>
    </w:p>
    <w:p w14:paraId="51028F08" w14:textId="6467516D" w:rsidR="00B47B45" w:rsidRPr="00D92BE7" w:rsidRDefault="00B47B45" w:rsidP="00B47B45">
      <w:pPr>
        <w:rPr>
          <w:b/>
          <w:bCs/>
        </w:rPr>
      </w:pPr>
      <w:proofErr w:type="spellStart"/>
      <w:r w:rsidRPr="00B47B45">
        <w:rPr>
          <w:b/>
          <w:bCs/>
        </w:rPr>
        <w:t>Governance</w:t>
      </w:r>
      <w:proofErr w:type="spellEnd"/>
      <w:r w:rsidR="00D92BE7">
        <w:rPr>
          <w:b/>
          <w:bCs/>
        </w:rPr>
        <w:br/>
      </w:r>
      <w:r w:rsidRPr="000B6816">
        <w:t xml:space="preserve">De </w:t>
      </w:r>
      <w:proofErr w:type="spellStart"/>
      <w:r w:rsidRPr="000B6816">
        <w:t>governance</w:t>
      </w:r>
      <w:proofErr w:type="spellEnd"/>
      <w:r w:rsidRPr="000B6816">
        <w:t xml:space="preserve">-structuur van </w:t>
      </w:r>
      <w:proofErr w:type="spellStart"/>
      <w:r w:rsidRPr="000B6816">
        <w:t>Amundi</w:t>
      </w:r>
      <w:proofErr w:type="spellEnd"/>
      <w:r w:rsidRPr="000B6816">
        <w:t xml:space="preserve"> omvat risk </w:t>
      </w:r>
      <w:proofErr w:type="spellStart"/>
      <w:r w:rsidRPr="000B6816">
        <w:t>committees</w:t>
      </w:r>
      <w:proofErr w:type="spellEnd"/>
      <w:r w:rsidRPr="000B6816">
        <w:t>, ESG-comités, rapportageverplichtingen en directieniveau-toezicht op duurzaamheidsrisico's (</w:t>
      </w:r>
      <w:proofErr w:type="spellStart"/>
      <w:r w:rsidRPr="000B6816">
        <w:t>Amundi</w:t>
      </w:r>
      <w:proofErr w:type="spellEnd"/>
      <w:r w:rsidRPr="000B6816">
        <w:t xml:space="preserve">, 2023). Daarnaast worden jaarlijks uitgebreide </w:t>
      </w:r>
      <w:r w:rsidRPr="000B6816">
        <w:rPr>
          <w:i/>
          <w:iCs/>
        </w:rPr>
        <w:t xml:space="preserve">Engagement &amp; </w:t>
      </w:r>
      <w:proofErr w:type="spellStart"/>
      <w:r w:rsidRPr="000B6816">
        <w:rPr>
          <w:i/>
          <w:iCs/>
        </w:rPr>
        <w:t>Voting</w:t>
      </w:r>
      <w:proofErr w:type="spellEnd"/>
      <w:r w:rsidRPr="000B6816">
        <w:rPr>
          <w:i/>
          <w:iCs/>
        </w:rPr>
        <w:t xml:space="preserve"> </w:t>
      </w:r>
      <w:proofErr w:type="spellStart"/>
      <w:r w:rsidRPr="000B6816">
        <w:rPr>
          <w:i/>
          <w:iCs/>
        </w:rPr>
        <w:t>Reports</w:t>
      </w:r>
      <w:proofErr w:type="spellEnd"/>
      <w:r w:rsidRPr="000B6816">
        <w:t xml:space="preserve"> gepubliceerd, wat duidt op transparantie in </w:t>
      </w:r>
      <w:proofErr w:type="spellStart"/>
      <w:r w:rsidRPr="000B6816">
        <w:t>stewardship</w:t>
      </w:r>
      <w:proofErr w:type="spellEnd"/>
      <w:r w:rsidRPr="000B6816">
        <w:t xml:space="preserve">. Hoewel dit een solide </w:t>
      </w:r>
      <w:proofErr w:type="spellStart"/>
      <w:r w:rsidRPr="000B6816">
        <w:t>governancekader</w:t>
      </w:r>
      <w:proofErr w:type="spellEnd"/>
      <w:r w:rsidRPr="000B6816">
        <w:t xml:space="preserve"> vormt, onderscheidt </w:t>
      </w:r>
      <w:proofErr w:type="spellStart"/>
      <w:r w:rsidRPr="000B6816">
        <w:t>Amundi</w:t>
      </w:r>
      <w:proofErr w:type="spellEnd"/>
      <w:r w:rsidRPr="000B6816">
        <w:t xml:space="preserve"> zich niet op uitzonderlijke wijze van andere Europese aanbieders.</w:t>
      </w:r>
      <w:r w:rsidRPr="000B6816">
        <w:br/>
        <w:t xml:space="preserve">Score </w:t>
      </w:r>
      <w:proofErr w:type="spellStart"/>
      <w:r w:rsidRPr="000B6816">
        <w:t>governance</w:t>
      </w:r>
      <w:proofErr w:type="spellEnd"/>
      <w:r w:rsidRPr="000B6816">
        <w:t>: 7/10.</w:t>
      </w:r>
    </w:p>
    <w:p w14:paraId="36673FA0" w14:textId="116326FC" w:rsidR="00B47B45" w:rsidRPr="000B6816" w:rsidRDefault="00B47B45" w:rsidP="00B47B45">
      <w:pPr>
        <w:rPr>
          <w:b/>
          <w:bCs/>
        </w:rPr>
      </w:pPr>
      <w:r w:rsidRPr="00B47B45">
        <w:rPr>
          <w:b/>
          <w:bCs/>
        </w:rPr>
        <w:t xml:space="preserve">Bad </w:t>
      </w:r>
      <w:proofErr w:type="spellStart"/>
      <w:r w:rsidRPr="00B47B45">
        <w:rPr>
          <w:b/>
          <w:bCs/>
        </w:rPr>
        <w:t>press</w:t>
      </w:r>
      <w:proofErr w:type="spellEnd"/>
      <w:r w:rsidR="000B6816">
        <w:rPr>
          <w:b/>
          <w:bCs/>
        </w:rPr>
        <w:br/>
      </w:r>
      <w:proofErr w:type="spellStart"/>
      <w:r w:rsidRPr="000B6816">
        <w:t>Amundi</w:t>
      </w:r>
      <w:proofErr w:type="spellEnd"/>
      <w:r w:rsidRPr="000B6816">
        <w:t xml:space="preserve"> is herhaaldelijk genoemd in onderzoeken naar “duurzame” fondsen die desondanks substantiële fossiele belangen aanhouden. Uit een analyse van </w:t>
      </w:r>
      <w:proofErr w:type="spellStart"/>
      <w:r w:rsidRPr="000B6816">
        <w:t>Reclaim</w:t>
      </w:r>
      <w:proofErr w:type="spellEnd"/>
      <w:r w:rsidRPr="000B6816">
        <w:t xml:space="preserve"> Finance blijkt dat grote indexbeheerders, waaronder </w:t>
      </w:r>
      <w:proofErr w:type="spellStart"/>
      <w:r w:rsidRPr="000B6816">
        <w:t>Amundi</w:t>
      </w:r>
      <w:proofErr w:type="spellEnd"/>
      <w:r w:rsidRPr="000B6816">
        <w:t xml:space="preserve">, in duurzame </w:t>
      </w:r>
      <w:proofErr w:type="spellStart"/>
      <w:r w:rsidRPr="000B6816">
        <w:t>ETF’s</w:t>
      </w:r>
      <w:proofErr w:type="spellEnd"/>
      <w:r w:rsidRPr="000B6816">
        <w:t xml:space="preserve"> nog aanzienlijke fossiele blootstelling hadden (Financial News London, 2024). Daarnaast rapporteerde </w:t>
      </w:r>
      <w:r w:rsidRPr="000B6816">
        <w:rPr>
          <w:i/>
          <w:iCs/>
        </w:rPr>
        <w:t xml:space="preserve">The </w:t>
      </w:r>
      <w:proofErr w:type="spellStart"/>
      <w:r w:rsidRPr="000B6816">
        <w:rPr>
          <w:i/>
          <w:iCs/>
        </w:rPr>
        <w:t>Guardian</w:t>
      </w:r>
      <w:proofErr w:type="spellEnd"/>
      <w:r w:rsidRPr="000B6816">
        <w:t xml:space="preserve"> dat EU-gereguleerde duurzame fondsen miljarden investeren in de grootste vervuilers, waarbij </w:t>
      </w:r>
      <w:proofErr w:type="spellStart"/>
      <w:r w:rsidRPr="000B6816">
        <w:t>Amundi</w:t>
      </w:r>
      <w:proofErr w:type="spellEnd"/>
      <w:r w:rsidRPr="000B6816">
        <w:t xml:space="preserve"> tot de grootste aanbieders behoort (The </w:t>
      </w:r>
      <w:proofErr w:type="spellStart"/>
      <w:r w:rsidRPr="000B6816">
        <w:t>Guardian</w:t>
      </w:r>
      <w:proofErr w:type="spellEnd"/>
      <w:r w:rsidRPr="000B6816">
        <w:t>, 2024). Dit leidt niet tot fraudeverdenkingen, maar wel tot reputatierisico's rond greenwashing.</w:t>
      </w:r>
      <w:r w:rsidRPr="000B6816">
        <w:br/>
        <w:t xml:space="preserve">Score bad </w:t>
      </w:r>
      <w:proofErr w:type="spellStart"/>
      <w:r w:rsidRPr="000B6816">
        <w:t>press</w:t>
      </w:r>
      <w:proofErr w:type="spellEnd"/>
      <w:r w:rsidRPr="000B6816">
        <w:t>: 4/10.</w:t>
      </w:r>
    </w:p>
    <w:p w14:paraId="3200B791" w14:textId="4795B7EA" w:rsidR="00B47B45" w:rsidRDefault="00B47B45" w:rsidP="00B47B45"/>
    <w:p w14:paraId="302FCF1E" w14:textId="77777777" w:rsidR="000B6816" w:rsidRDefault="000B6816" w:rsidP="00B47B45"/>
    <w:p w14:paraId="13A69D12" w14:textId="77777777" w:rsidR="000B6816" w:rsidRDefault="000B6816" w:rsidP="00B47B45"/>
    <w:p w14:paraId="4D9D45F1" w14:textId="77777777" w:rsidR="000B6816" w:rsidRDefault="000B6816" w:rsidP="00B47B45"/>
    <w:p w14:paraId="476BFC77" w14:textId="77777777" w:rsidR="000B6816" w:rsidRDefault="000B6816" w:rsidP="00B47B45"/>
    <w:p w14:paraId="5614DB6A" w14:textId="77777777" w:rsidR="000B6816" w:rsidRPr="00B47B45" w:rsidRDefault="000B6816" w:rsidP="00B47B45"/>
    <w:p w14:paraId="608EF25E" w14:textId="3F6F458C" w:rsidR="00B47B45" w:rsidRPr="00B47B45" w:rsidRDefault="000B6816" w:rsidP="000B6816">
      <w:pPr>
        <w:pStyle w:val="Heading3"/>
      </w:pPr>
      <w:bookmarkStart w:id="5" w:name="_Toc218449544"/>
      <w:r>
        <w:t xml:space="preserve">1.2.2 </w:t>
      </w:r>
      <w:r w:rsidR="00B47B45" w:rsidRPr="00B47B45">
        <w:t xml:space="preserve">ASN Impact </w:t>
      </w:r>
      <w:proofErr w:type="spellStart"/>
      <w:r w:rsidR="00B47B45" w:rsidRPr="00B47B45">
        <w:t>Investors</w:t>
      </w:r>
      <w:bookmarkEnd w:id="5"/>
      <w:proofErr w:type="spellEnd"/>
    </w:p>
    <w:p w14:paraId="5B19480C" w14:textId="0FFAB038" w:rsidR="00B47B45" w:rsidRPr="000B6816" w:rsidRDefault="00B47B45" w:rsidP="00B47B45">
      <w:pPr>
        <w:rPr>
          <w:b/>
          <w:bCs/>
        </w:rPr>
      </w:pPr>
      <w:r w:rsidRPr="00B47B45">
        <w:rPr>
          <w:b/>
          <w:bCs/>
        </w:rPr>
        <w:t>Duurzaamheidsbeleid</w:t>
      </w:r>
      <w:r w:rsidR="000B6816">
        <w:rPr>
          <w:b/>
          <w:bCs/>
        </w:rPr>
        <w:br/>
      </w:r>
      <w:r w:rsidRPr="000B6816">
        <w:t xml:space="preserve">ASN Impact </w:t>
      </w:r>
      <w:proofErr w:type="spellStart"/>
      <w:r w:rsidRPr="000B6816">
        <w:t>Investors</w:t>
      </w:r>
      <w:proofErr w:type="spellEnd"/>
      <w:r w:rsidRPr="000B6816">
        <w:t xml:space="preserve"> richt zich volledig op impactbeleggen en rapporteert jaarlijks over concrete resultaten. In het </w:t>
      </w:r>
      <w:r w:rsidRPr="000B6816">
        <w:rPr>
          <w:i/>
          <w:iCs/>
        </w:rPr>
        <w:t>Impact Report 2023</w:t>
      </w:r>
      <w:r w:rsidRPr="000B6816">
        <w:t xml:space="preserve"> worden drie strategische pijlers benoemd: klimaat, biodiversiteit en mensenrechten (ASN Bank, 2024a). Uit het rapport blijkt dat de portefeuille in 2023 een CO₂-reductie van 7,3% realiseerde en dat 21,8% van het beheerde vermogen directe impactinvesteringen betreft (Banken.nl, 2024). ASN hanteert daarnaast strikte uitsluitingen op fossiele brandstoffen, wapens en mensenrechtenschendingen. Hiermee behoort ASN tot de strengste duurzame partijen in Nederland.</w:t>
      </w:r>
      <w:r w:rsidRPr="000B6816">
        <w:br/>
        <w:t>Score duurzaamheidsbeleid: 9/10.</w:t>
      </w:r>
    </w:p>
    <w:p w14:paraId="0476D2EE" w14:textId="52EDDB46" w:rsidR="00B47B45" w:rsidRPr="000B6816" w:rsidRDefault="00B47B45" w:rsidP="00B47B45">
      <w:pPr>
        <w:rPr>
          <w:b/>
          <w:bCs/>
        </w:rPr>
      </w:pPr>
      <w:proofErr w:type="spellStart"/>
      <w:r w:rsidRPr="00B47B45">
        <w:rPr>
          <w:b/>
          <w:bCs/>
        </w:rPr>
        <w:t>Governance</w:t>
      </w:r>
      <w:proofErr w:type="spellEnd"/>
      <w:r w:rsidR="000B6816">
        <w:rPr>
          <w:b/>
          <w:bCs/>
        </w:rPr>
        <w:br/>
      </w:r>
      <w:r w:rsidRPr="000B6816">
        <w:t xml:space="preserve">De </w:t>
      </w:r>
      <w:proofErr w:type="spellStart"/>
      <w:r w:rsidRPr="000B6816">
        <w:t>governance</w:t>
      </w:r>
      <w:proofErr w:type="spellEnd"/>
      <w:r w:rsidRPr="000B6816">
        <w:t xml:space="preserve"> binnen ASN Impact </w:t>
      </w:r>
      <w:proofErr w:type="spellStart"/>
      <w:r w:rsidRPr="000B6816">
        <w:t>Investors</w:t>
      </w:r>
      <w:proofErr w:type="spellEnd"/>
      <w:r w:rsidRPr="000B6816">
        <w:t xml:space="preserve"> is sterk geïntegreerd in de bredere </w:t>
      </w:r>
      <w:proofErr w:type="spellStart"/>
      <w:r w:rsidRPr="000B6816">
        <w:t>governance</w:t>
      </w:r>
      <w:proofErr w:type="spellEnd"/>
      <w:r w:rsidRPr="000B6816">
        <w:t xml:space="preserve">-structuur van de Volksbank. Jaarverslagen bevatten gedetailleerde rapportages over risicobeheer, duurzaamheidsstrategie en fondsbeheer (ASN Bank, 2024b). De impactmeting wordt uitvoerig en transparant uitgelegd, waardoor </w:t>
      </w:r>
      <w:proofErr w:type="spellStart"/>
      <w:r w:rsidRPr="000B6816">
        <w:t>governance</w:t>
      </w:r>
      <w:proofErr w:type="spellEnd"/>
      <w:r w:rsidRPr="000B6816">
        <w:t xml:space="preserve"> op het gebied van duurzaamheid als volwassen en consistent kan worden beschouwd.</w:t>
      </w:r>
      <w:r w:rsidRPr="000B6816">
        <w:br/>
        <w:t xml:space="preserve">Score </w:t>
      </w:r>
      <w:proofErr w:type="spellStart"/>
      <w:r w:rsidRPr="000B6816">
        <w:t>governance</w:t>
      </w:r>
      <w:proofErr w:type="spellEnd"/>
      <w:r w:rsidRPr="000B6816">
        <w:t>: 8/10.</w:t>
      </w:r>
    </w:p>
    <w:p w14:paraId="0F788FCC" w14:textId="328F6562" w:rsidR="00B47B45" w:rsidRPr="000B6816" w:rsidRDefault="00B47B45" w:rsidP="00B47B45">
      <w:r w:rsidRPr="00B47B45">
        <w:rPr>
          <w:b/>
          <w:bCs/>
        </w:rPr>
        <w:t xml:space="preserve">Bad </w:t>
      </w:r>
      <w:proofErr w:type="spellStart"/>
      <w:r w:rsidRPr="00B47B45">
        <w:rPr>
          <w:b/>
          <w:bCs/>
        </w:rPr>
        <w:t>press</w:t>
      </w:r>
      <w:proofErr w:type="spellEnd"/>
      <w:r w:rsidR="000B6816">
        <w:rPr>
          <w:b/>
          <w:bCs/>
        </w:rPr>
        <w:br/>
      </w:r>
      <w:r w:rsidRPr="000B6816">
        <w:t xml:space="preserve">ASN komt regelmatig positief in het nieuws wegens transparantie in duurzaamheidsrapportages en een duidelijke impactmethodiek (Banken.nl, 2024). Er zijn geen significante schandalen, </w:t>
      </w:r>
      <w:proofErr w:type="spellStart"/>
      <w:r w:rsidRPr="000B6816">
        <w:t>governance</w:t>
      </w:r>
      <w:proofErr w:type="spellEnd"/>
      <w:r w:rsidRPr="000B6816">
        <w:t>-incidenten of aantijgingen van greenwashing bekend.</w:t>
      </w:r>
      <w:r w:rsidRPr="000B6816">
        <w:br/>
        <w:t xml:space="preserve">Score bad </w:t>
      </w:r>
      <w:proofErr w:type="spellStart"/>
      <w:r w:rsidRPr="000B6816">
        <w:t>press</w:t>
      </w:r>
      <w:proofErr w:type="spellEnd"/>
      <w:r w:rsidRPr="000B6816">
        <w:t>: 9/10.</w:t>
      </w:r>
    </w:p>
    <w:p w14:paraId="1F313FEE" w14:textId="627E57DD" w:rsidR="00B47B45" w:rsidRDefault="00B47B45" w:rsidP="00B47B45"/>
    <w:p w14:paraId="54FEA1E5" w14:textId="77777777" w:rsidR="00E867CB" w:rsidRDefault="00E867CB" w:rsidP="00B47B45"/>
    <w:p w14:paraId="72E9F1C2" w14:textId="77777777" w:rsidR="000B6816" w:rsidRDefault="000B6816" w:rsidP="00B47B45"/>
    <w:p w14:paraId="76637737" w14:textId="77777777" w:rsidR="000B6816" w:rsidRDefault="000B6816" w:rsidP="00B47B45"/>
    <w:p w14:paraId="440FBBF6" w14:textId="77777777" w:rsidR="000B6816" w:rsidRDefault="000B6816" w:rsidP="00B47B45"/>
    <w:p w14:paraId="7271917F" w14:textId="77777777" w:rsidR="000B6816" w:rsidRDefault="000B6816" w:rsidP="00B47B45"/>
    <w:p w14:paraId="187B03E9" w14:textId="77777777" w:rsidR="000B6816" w:rsidRDefault="000B6816" w:rsidP="00B47B45"/>
    <w:p w14:paraId="557E4256" w14:textId="77777777" w:rsidR="000B6816" w:rsidRDefault="000B6816" w:rsidP="00B47B45"/>
    <w:p w14:paraId="5A9B4F11" w14:textId="77777777" w:rsidR="000B6816" w:rsidRDefault="000B6816" w:rsidP="00B47B45"/>
    <w:p w14:paraId="78CB0C14" w14:textId="77777777" w:rsidR="000B6816" w:rsidRPr="00B47B45" w:rsidRDefault="000B6816" w:rsidP="00B47B45"/>
    <w:p w14:paraId="3F6E577E" w14:textId="2E0563A6" w:rsidR="00B47B45" w:rsidRPr="00B47B45" w:rsidRDefault="000B6816" w:rsidP="000B6816">
      <w:pPr>
        <w:pStyle w:val="Heading3"/>
      </w:pPr>
      <w:bookmarkStart w:id="6" w:name="_Toc218449545"/>
      <w:r>
        <w:t>1.2.</w:t>
      </w:r>
      <w:r w:rsidR="00B47B45" w:rsidRPr="00B47B45">
        <w:t>3 Triodos Investment Management</w:t>
      </w:r>
      <w:bookmarkEnd w:id="6"/>
    </w:p>
    <w:p w14:paraId="55313A66" w14:textId="7E85905A" w:rsidR="00B47B45" w:rsidRPr="000B6816" w:rsidRDefault="00B47B45" w:rsidP="00B47B45">
      <w:pPr>
        <w:rPr>
          <w:b/>
          <w:bCs/>
        </w:rPr>
      </w:pPr>
      <w:r w:rsidRPr="00B47B45">
        <w:rPr>
          <w:b/>
          <w:bCs/>
        </w:rPr>
        <w:t>Duurzaamheidsbeleid</w:t>
      </w:r>
      <w:r w:rsidR="000B6816">
        <w:rPr>
          <w:b/>
          <w:bCs/>
        </w:rPr>
        <w:br/>
      </w:r>
      <w:r w:rsidRPr="000B6816">
        <w:t xml:space="preserve">Triodos IM is een van de meest toonaangevende impactbeleggers in Europa. In het </w:t>
      </w:r>
      <w:r w:rsidRPr="000B6816">
        <w:rPr>
          <w:i/>
          <w:iCs/>
        </w:rPr>
        <w:t>Impact Report 2023</w:t>
      </w:r>
      <w:r w:rsidRPr="000B6816">
        <w:t xml:space="preserve"> wordt vermeld dat de impact </w:t>
      </w:r>
      <w:proofErr w:type="spellStart"/>
      <w:r w:rsidRPr="000B6816">
        <w:t>equity</w:t>
      </w:r>
      <w:proofErr w:type="spellEnd"/>
      <w:r w:rsidRPr="000B6816">
        <w:t>- en obligatieportefeuilles gemiddeld 53% lagere broeikasgasuitstoot en 77% lager waterverbruik hebben dan vergelijkbare benchmarks (Triodos IM, 2024a). De strategie richt zich op thema’s zoals energie en klimaat, duurzame voeding en financiële inclusie (Triodos IM, 2024b). Veel Triodos-fondsen vallen onder SFDR Artikel 9, wat duidt op een maximaal ambitieniveau in duurzame beleggingen.</w:t>
      </w:r>
      <w:r w:rsidRPr="000B6816">
        <w:br/>
        <w:t>Score duurzaamheidsbeleid: 10/10.</w:t>
      </w:r>
    </w:p>
    <w:p w14:paraId="26951CB4" w14:textId="740D22C8" w:rsidR="00B47B45" w:rsidRPr="000B6816" w:rsidRDefault="00B47B45" w:rsidP="00B47B45">
      <w:pPr>
        <w:rPr>
          <w:b/>
          <w:bCs/>
        </w:rPr>
      </w:pPr>
      <w:proofErr w:type="spellStart"/>
      <w:r w:rsidRPr="00B47B45">
        <w:rPr>
          <w:b/>
          <w:bCs/>
        </w:rPr>
        <w:t>Governance</w:t>
      </w:r>
      <w:proofErr w:type="spellEnd"/>
      <w:r w:rsidR="000B6816">
        <w:rPr>
          <w:b/>
          <w:bCs/>
        </w:rPr>
        <w:br/>
      </w:r>
      <w:r w:rsidRPr="000B6816">
        <w:t xml:space="preserve">Triodos IM hanteert een </w:t>
      </w:r>
      <w:proofErr w:type="spellStart"/>
      <w:r w:rsidRPr="000B6816">
        <w:t>governance</w:t>
      </w:r>
      <w:proofErr w:type="spellEnd"/>
      <w:r w:rsidRPr="000B6816">
        <w:t>-structuur waarbij beheer, toezicht en risicobeheer strikt gescheiden zijn. De organisatie publiceert uitgebreide jaarverslagen waarin zowel financiële als niet-financiële prestaties worden verantwoord (Triodos IM, 2024b). Duurzaamheid vormt de kern van de bedrijfsstrategie, wat zichtbaar wordt in thematische expertise en consistentie van rapportage.</w:t>
      </w:r>
      <w:r w:rsidRPr="000B6816">
        <w:br/>
        <w:t xml:space="preserve">Score </w:t>
      </w:r>
      <w:proofErr w:type="spellStart"/>
      <w:r w:rsidRPr="000B6816">
        <w:t>governance</w:t>
      </w:r>
      <w:proofErr w:type="spellEnd"/>
      <w:r w:rsidRPr="000B6816">
        <w:t>: 8/10.</w:t>
      </w:r>
    </w:p>
    <w:p w14:paraId="26704E2D" w14:textId="5C567993" w:rsidR="00B47B45" w:rsidRPr="000B6816" w:rsidRDefault="00B47B45" w:rsidP="00B47B45">
      <w:pPr>
        <w:rPr>
          <w:b/>
          <w:bCs/>
        </w:rPr>
      </w:pPr>
      <w:r w:rsidRPr="00B47B45">
        <w:rPr>
          <w:b/>
          <w:bCs/>
        </w:rPr>
        <w:t xml:space="preserve">Bad </w:t>
      </w:r>
      <w:proofErr w:type="spellStart"/>
      <w:r w:rsidRPr="00B47B45">
        <w:rPr>
          <w:b/>
          <w:bCs/>
        </w:rPr>
        <w:t>press</w:t>
      </w:r>
      <w:proofErr w:type="spellEnd"/>
      <w:r w:rsidR="000B6816">
        <w:rPr>
          <w:b/>
          <w:bCs/>
        </w:rPr>
        <w:br/>
      </w:r>
      <w:r w:rsidRPr="000B6816">
        <w:t>Hoewel Triodos Bank eerder kritiek ontving rondom certificaten van aandelen, betreft dit niet de vermogensbeheertak. Triodos IM zelf komt voornamelijk in het nieuws in de context van beleidskritiek (bijvoorbeeld op de EU-taxonomie), en niet in verband met schendingen of misleiding (Triodos IM, 2024c).</w:t>
      </w:r>
      <w:r w:rsidRPr="000B6816">
        <w:br/>
        <w:t xml:space="preserve">Score bad </w:t>
      </w:r>
      <w:proofErr w:type="spellStart"/>
      <w:r w:rsidRPr="000B6816">
        <w:t>press</w:t>
      </w:r>
      <w:proofErr w:type="spellEnd"/>
      <w:r w:rsidRPr="000B6816">
        <w:t>: 8/10.</w:t>
      </w:r>
    </w:p>
    <w:p w14:paraId="3D73E2F3" w14:textId="111EB7D0" w:rsidR="00B47B45" w:rsidRDefault="00B47B45" w:rsidP="00B47B45"/>
    <w:p w14:paraId="43C36A4A" w14:textId="77777777" w:rsidR="000B6816" w:rsidRDefault="000B6816" w:rsidP="00B47B45"/>
    <w:p w14:paraId="0EE343A0" w14:textId="77777777" w:rsidR="000B6816" w:rsidRDefault="000B6816" w:rsidP="00B47B45"/>
    <w:p w14:paraId="60644A19" w14:textId="77777777" w:rsidR="000B6816" w:rsidRDefault="000B6816" w:rsidP="00B47B45"/>
    <w:p w14:paraId="56B73AF0" w14:textId="77777777" w:rsidR="000B6816" w:rsidRDefault="000B6816" w:rsidP="00B47B45"/>
    <w:p w14:paraId="600AC359" w14:textId="77777777" w:rsidR="000B6816" w:rsidRDefault="000B6816" w:rsidP="00B47B45"/>
    <w:p w14:paraId="32C41F3F" w14:textId="77777777" w:rsidR="000B6816" w:rsidRDefault="000B6816" w:rsidP="00B47B45"/>
    <w:p w14:paraId="06F22335" w14:textId="77777777" w:rsidR="000B6816" w:rsidRDefault="000B6816" w:rsidP="00B47B45"/>
    <w:p w14:paraId="5559D919" w14:textId="77777777" w:rsidR="000B6816" w:rsidRDefault="000B6816" w:rsidP="00B47B45"/>
    <w:p w14:paraId="288A5142" w14:textId="77777777" w:rsidR="000B6816" w:rsidRDefault="000B6816" w:rsidP="00B47B45"/>
    <w:p w14:paraId="3284B560" w14:textId="77777777" w:rsidR="000B6816" w:rsidRPr="00B47B45" w:rsidRDefault="000B6816" w:rsidP="00B47B45"/>
    <w:p w14:paraId="21D64C83" w14:textId="4F4E73D0" w:rsidR="00B47B45" w:rsidRPr="00B47B45" w:rsidRDefault="000B6816" w:rsidP="000B6816">
      <w:pPr>
        <w:pStyle w:val="Heading3"/>
      </w:pPr>
      <w:bookmarkStart w:id="7" w:name="_Toc218449546"/>
      <w:r>
        <w:t>1.2.</w:t>
      </w:r>
      <w:r w:rsidR="00B47B45" w:rsidRPr="00B47B45">
        <w:t>4 Robeco</w:t>
      </w:r>
      <w:bookmarkEnd w:id="7"/>
    </w:p>
    <w:p w14:paraId="3E5F6420" w14:textId="25D39863" w:rsidR="00B47B45" w:rsidRPr="000B6816" w:rsidRDefault="00B47B45" w:rsidP="00B47B45">
      <w:pPr>
        <w:rPr>
          <w:b/>
          <w:bCs/>
        </w:rPr>
      </w:pPr>
      <w:r w:rsidRPr="00B47B45">
        <w:rPr>
          <w:b/>
          <w:bCs/>
        </w:rPr>
        <w:t>Duurzaamheidsbeleid</w:t>
      </w:r>
      <w:r w:rsidR="000B6816">
        <w:rPr>
          <w:b/>
          <w:bCs/>
        </w:rPr>
        <w:br/>
      </w:r>
      <w:r w:rsidRPr="000B6816">
        <w:t xml:space="preserve">Robeco geldt als internationale pionier in ESG-integratie. Het </w:t>
      </w:r>
      <w:proofErr w:type="spellStart"/>
      <w:r w:rsidRPr="000B6816">
        <w:rPr>
          <w:i/>
          <w:iCs/>
        </w:rPr>
        <w:t>Stewardship</w:t>
      </w:r>
      <w:proofErr w:type="spellEnd"/>
      <w:r w:rsidRPr="000B6816">
        <w:rPr>
          <w:i/>
          <w:iCs/>
        </w:rPr>
        <w:t xml:space="preserve"> Report 2023</w:t>
      </w:r>
      <w:r w:rsidRPr="000B6816">
        <w:t xml:space="preserve"> beschrijft nieuwe engagementthema’s op het gebied van biodiversiteit, moderne slavernij en energietransitie (Robeco, 2024). Robeco hanteert een uitgebreid uitsluitingsbeleid en een SDG-</w:t>
      </w:r>
      <w:proofErr w:type="spellStart"/>
      <w:r w:rsidRPr="000B6816">
        <w:t>framework</w:t>
      </w:r>
      <w:proofErr w:type="spellEnd"/>
      <w:r w:rsidRPr="000B6816">
        <w:t xml:space="preserve"> waarmee duizenden bedrijven worden beoordeeld op hun bijdrage aan de Duurzame Ontwikkelingsdoelen (Robeco, 2024). Ondanks deze sterke structuur bevatten enkele fondsen nog fossiele blootstelling, wat regelmatig wordt benadrukt in duurzaamheidsanalyses.</w:t>
      </w:r>
      <w:r w:rsidRPr="000B6816">
        <w:br/>
        <w:t>Score duurzaamheidsbeleid: 8/10.</w:t>
      </w:r>
    </w:p>
    <w:p w14:paraId="0D4F837B" w14:textId="32E80D51" w:rsidR="00B47B45" w:rsidRPr="000B6816" w:rsidRDefault="00B47B45" w:rsidP="00B47B45">
      <w:pPr>
        <w:rPr>
          <w:b/>
          <w:bCs/>
        </w:rPr>
      </w:pPr>
      <w:proofErr w:type="spellStart"/>
      <w:r w:rsidRPr="00B47B45">
        <w:rPr>
          <w:b/>
          <w:bCs/>
        </w:rPr>
        <w:t>Governance</w:t>
      </w:r>
      <w:proofErr w:type="spellEnd"/>
      <w:r w:rsidR="000B6816">
        <w:rPr>
          <w:b/>
          <w:bCs/>
        </w:rPr>
        <w:br/>
      </w:r>
      <w:r w:rsidRPr="000B6816">
        <w:t xml:space="preserve">Het Active </w:t>
      </w:r>
      <w:proofErr w:type="spellStart"/>
      <w:r w:rsidRPr="000B6816">
        <w:t>Ownership</w:t>
      </w:r>
      <w:proofErr w:type="spellEnd"/>
      <w:r w:rsidRPr="000B6816">
        <w:t xml:space="preserve">-team van Robeco voert stemmen en engagement uit op basis van intern onderzoek en duidelijk vastgelegde richtlijnen. De </w:t>
      </w:r>
      <w:proofErr w:type="spellStart"/>
      <w:r w:rsidRPr="000B6816">
        <w:t>onderzoeksaanpak</w:t>
      </w:r>
      <w:proofErr w:type="spellEnd"/>
      <w:r w:rsidRPr="000B6816">
        <w:t xml:space="preserve"> combineert fundamentele analyse, kwantitatieve modellen en duurzaamheidsexpertise, wat duidt op een geïntegreerde </w:t>
      </w:r>
      <w:proofErr w:type="spellStart"/>
      <w:r w:rsidRPr="000B6816">
        <w:t>governance</w:t>
      </w:r>
      <w:proofErr w:type="spellEnd"/>
      <w:r w:rsidRPr="000B6816">
        <w:t>-structuur (Robeco, 2024).</w:t>
      </w:r>
      <w:r w:rsidRPr="000B6816">
        <w:br/>
        <w:t xml:space="preserve">Score </w:t>
      </w:r>
      <w:proofErr w:type="spellStart"/>
      <w:r w:rsidRPr="000B6816">
        <w:t>governance</w:t>
      </w:r>
      <w:proofErr w:type="spellEnd"/>
      <w:r w:rsidRPr="000B6816">
        <w:t>: 8/10.</w:t>
      </w:r>
    </w:p>
    <w:p w14:paraId="77C434E0" w14:textId="3A847974" w:rsidR="00B47B45" w:rsidRDefault="00B47B45" w:rsidP="00B47B45">
      <w:r w:rsidRPr="6B8211B3">
        <w:rPr>
          <w:b/>
          <w:bCs/>
        </w:rPr>
        <w:t>Bad press</w:t>
      </w:r>
      <w:r>
        <w:br/>
        <w:t xml:space="preserve">In 2025 rapporteerde </w:t>
      </w:r>
      <w:r w:rsidRPr="6B8211B3">
        <w:rPr>
          <w:i/>
          <w:iCs/>
        </w:rPr>
        <w:t>The Guardian</w:t>
      </w:r>
      <w:r>
        <w:t xml:space="preserve"> dat Europese “groene” fondsen gezamenlijk meer dan 33,5 miljard dollar in fossiele bedrijven hadden geïnvesteerd. Robeco werd in deze analyse genoemd als beheerder die bepaalde fondsen opnieuw moest classificeren of hernoemen (The Guardian, 2025). Hoewel er geen sprake is van frauduleuze activiteiten, schaadt dergelijke berichtgeving de reputatie.</w:t>
      </w:r>
      <w:r>
        <w:br/>
        <w:t xml:space="preserve">Score bad </w:t>
      </w:r>
      <w:proofErr w:type="spellStart"/>
      <w:r>
        <w:t>press</w:t>
      </w:r>
      <w:proofErr w:type="spellEnd"/>
      <w:r>
        <w:t>: 6/10.</w:t>
      </w:r>
    </w:p>
    <w:p w14:paraId="45A21891" w14:textId="77777777" w:rsidR="00B82272" w:rsidRDefault="00B82272" w:rsidP="00B47B45"/>
    <w:p w14:paraId="570FE7DC" w14:textId="77777777" w:rsidR="00B82272" w:rsidRDefault="00B82272" w:rsidP="00B47B45"/>
    <w:p w14:paraId="45DFCD2E" w14:textId="77777777" w:rsidR="00B82272" w:rsidRDefault="00B82272" w:rsidP="00B47B45"/>
    <w:p w14:paraId="66DB4D30" w14:textId="77777777" w:rsidR="00B82272" w:rsidRDefault="00B82272" w:rsidP="00B47B45"/>
    <w:p w14:paraId="1FD2B572" w14:textId="77777777" w:rsidR="00A068F3" w:rsidRDefault="00B82272" w:rsidP="001D51BF">
      <w:pPr>
        <w:pStyle w:val="Heading3"/>
      </w:pPr>
      <w:bookmarkStart w:id="8" w:name="_Toc218449547"/>
      <w:r>
        <w:t>1.2.5</w:t>
      </w:r>
      <w:r w:rsidRPr="00B47B45">
        <w:t xml:space="preserve"> </w:t>
      </w:r>
      <w:r w:rsidR="00A068F3" w:rsidRPr="00A068F3">
        <w:t xml:space="preserve">Allianz Global </w:t>
      </w:r>
      <w:proofErr w:type="spellStart"/>
      <w:r w:rsidR="00A068F3" w:rsidRPr="00A068F3">
        <w:t>Investors</w:t>
      </w:r>
      <w:bookmarkEnd w:id="8"/>
      <w:proofErr w:type="spellEnd"/>
    </w:p>
    <w:p w14:paraId="5B65A909" w14:textId="77777777" w:rsidR="00073590" w:rsidRPr="00073590" w:rsidRDefault="00073590" w:rsidP="00073590">
      <w:pPr>
        <w:rPr>
          <w:u w:val="single"/>
        </w:rPr>
      </w:pPr>
      <w:r w:rsidRPr="00073590">
        <w:rPr>
          <w:u w:val="single"/>
        </w:rPr>
        <w:t>Duurzaamheidsbeleid</w:t>
      </w:r>
    </w:p>
    <w:p w14:paraId="6612ACC9" w14:textId="77777777" w:rsidR="00073590" w:rsidRPr="00073590" w:rsidRDefault="00073590" w:rsidP="00073590">
      <w:r w:rsidRPr="00073590">
        <w:t xml:space="preserve">Allianz Global </w:t>
      </w:r>
      <w:proofErr w:type="spellStart"/>
      <w:r w:rsidRPr="00073590">
        <w:t>Investors</w:t>
      </w:r>
      <w:proofErr w:type="spellEnd"/>
      <w:r w:rsidRPr="00073590">
        <w:t xml:space="preserve"> heeft een uitgebreid duurzaamheidsbeleid. In het </w:t>
      </w:r>
      <w:proofErr w:type="spellStart"/>
      <w:r w:rsidRPr="00073590">
        <w:t>Sustainability</w:t>
      </w:r>
      <w:proofErr w:type="spellEnd"/>
      <w:r w:rsidRPr="00073590">
        <w:t xml:space="preserve"> Report van 2023 beschrijven zij hoe ESG wordt meegenomen in het beleggingsproces. Allianz gebruikt eigen ESG-scores en volgt internationale richtlijnen zoals de UN PRI. </w:t>
      </w:r>
    </w:p>
    <w:p w14:paraId="757B9826" w14:textId="77777777" w:rsidR="00073590" w:rsidRPr="00073590" w:rsidRDefault="00073590" w:rsidP="00073590">
      <w:r w:rsidRPr="00073590">
        <w:t xml:space="preserve">Veel fondsen vallen onder Artikel 8. Een kleiner deel is Artikel 9 en richt zich volledig op duurzame doelen. Allianz publiceert jaarlijks rapporten over CO2-doelen en stemgedrag in bedrijven. </w:t>
      </w:r>
      <w:sdt>
        <w:sdtPr>
          <w:rPr>
            <w:i/>
            <w:iCs/>
          </w:rPr>
          <w:id w:val="80425162"/>
          <w:citation/>
        </w:sdtPr>
        <w:sdtContent>
          <w:r w:rsidRPr="00073590">
            <w:rPr>
              <w:i/>
              <w:iCs/>
            </w:rPr>
            <w:fldChar w:fldCharType="begin"/>
          </w:r>
          <w:r w:rsidRPr="00073590">
            <w:rPr>
              <w:i/>
              <w:iCs/>
            </w:rPr>
            <w:instrText xml:space="preserve">CITATION Our \l 1043 </w:instrText>
          </w:r>
          <w:r w:rsidRPr="00073590">
            <w:rPr>
              <w:i/>
              <w:iCs/>
            </w:rPr>
            <w:fldChar w:fldCharType="separate"/>
          </w:r>
          <w:r w:rsidRPr="00073590">
            <w:rPr>
              <w:i/>
              <w:iCs/>
            </w:rPr>
            <w:t>((Sustainable Investing | Allianz Global Investors, z.d.), sd)</w:t>
          </w:r>
          <w:r w:rsidRPr="00073590">
            <w:fldChar w:fldCharType="end"/>
          </w:r>
        </w:sdtContent>
      </w:sdt>
    </w:p>
    <w:p w14:paraId="2188D0AF" w14:textId="77777777" w:rsidR="00073590" w:rsidRPr="00073590" w:rsidRDefault="00073590" w:rsidP="00073590">
      <w:r w:rsidRPr="00073590">
        <w:t xml:space="preserve">Allianz is transparant en voldoet volledig aan de SFDR-regels. Het beleid is duidelijk uitgewerkt en goed onderbouwd. </w:t>
      </w:r>
      <w:sdt>
        <w:sdtPr>
          <w:rPr>
            <w:i/>
            <w:iCs/>
          </w:rPr>
          <w:id w:val="-229538553"/>
          <w:citation/>
        </w:sdtPr>
        <w:sdtContent>
          <w:r w:rsidRPr="00073590">
            <w:rPr>
              <w:i/>
              <w:iCs/>
            </w:rPr>
            <w:fldChar w:fldCharType="begin"/>
          </w:r>
          <w:r w:rsidRPr="00073590">
            <w:rPr>
              <w:i/>
              <w:iCs/>
            </w:rPr>
            <w:instrText xml:space="preserve"> CITATION All25 \l 1043 </w:instrText>
          </w:r>
          <w:r w:rsidRPr="00073590">
            <w:rPr>
              <w:i/>
              <w:iCs/>
            </w:rPr>
            <w:fldChar w:fldCharType="separate"/>
          </w:r>
          <w:r w:rsidRPr="00073590">
            <w:rPr>
              <w:i/>
              <w:iCs/>
            </w:rPr>
            <w:t>(Allianz Global Sustainability, 2025)</w:t>
          </w:r>
          <w:r w:rsidRPr="00073590">
            <w:fldChar w:fldCharType="end"/>
          </w:r>
        </w:sdtContent>
      </w:sdt>
    </w:p>
    <w:p w14:paraId="47A0D345" w14:textId="77777777" w:rsidR="00073590" w:rsidRPr="00073590" w:rsidRDefault="00073590" w:rsidP="00073590">
      <w:pPr>
        <w:rPr>
          <w:u w:val="single"/>
        </w:rPr>
      </w:pPr>
      <w:proofErr w:type="spellStart"/>
      <w:r w:rsidRPr="00073590">
        <w:rPr>
          <w:u w:val="single"/>
        </w:rPr>
        <w:t>Governance</w:t>
      </w:r>
      <w:proofErr w:type="spellEnd"/>
    </w:p>
    <w:p w14:paraId="7FD5E2FE" w14:textId="77777777" w:rsidR="00073590" w:rsidRPr="00073590" w:rsidRDefault="00073590" w:rsidP="00073590">
      <w:r w:rsidRPr="00073590">
        <w:t xml:space="preserve">Allianz Global </w:t>
      </w:r>
      <w:proofErr w:type="spellStart"/>
      <w:r w:rsidRPr="00073590">
        <w:t>Investors</w:t>
      </w:r>
      <w:proofErr w:type="spellEnd"/>
      <w:r w:rsidRPr="00073590">
        <w:t xml:space="preserve"> heeft een formele bestuursstructuur. Het bedrijf is georganiseerd met een directieteam, een raad van toezicht en verschillende interne commissies. Deze commissies controleren risico’s, wet- en regelgeving en interne processen.</w:t>
      </w:r>
    </w:p>
    <w:p w14:paraId="4B721DD0" w14:textId="77777777" w:rsidR="00073590" w:rsidRPr="00073590" w:rsidRDefault="00073590" w:rsidP="00073590">
      <w:r w:rsidRPr="00073590">
        <w:t>In het jaarverslag beschrijft Allianz uitgebreid hoe risico’s worden gemonitord. Het bedrijf legt uit hoe medewerkers worden beloond. Bonussen zijn gekoppeld aan prestaties op de lange termijn. Hierdoor wil Allianz voorkomen dat adviseurs te veel risico nemen.</w:t>
      </w:r>
    </w:p>
    <w:p w14:paraId="73EE91FF" w14:textId="77777777" w:rsidR="00073590" w:rsidRPr="00073590" w:rsidRDefault="00073590" w:rsidP="00073590">
      <w:r w:rsidRPr="00073590">
        <w:t xml:space="preserve">Allianz publiceert jaarlijks rapporten over hun stembeleid en toezicht op bedrijven waarin zij beleggen. De informatie voor klanten is duidelijk en openbaar beschikbaar. Na 2021 is de organisatie strenger gaan controleren door tekortkomingen in het risicobeheer. </w:t>
      </w:r>
      <w:sdt>
        <w:sdtPr>
          <w:rPr>
            <w:i/>
            <w:iCs/>
          </w:rPr>
          <w:id w:val="491457648"/>
          <w:citation/>
        </w:sdtPr>
        <w:sdtContent>
          <w:r w:rsidRPr="00073590">
            <w:rPr>
              <w:i/>
              <w:iCs/>
            </w:rPr>
            <w:fldChar w:fldCharType="begin"/>
          </w:r>
          <w:r w:rsidRPr="00073590">
            <w:rPr>
              <w:i/>
              <w:iCs/>
            </w:rPr>
            <w:instrText xml:space="preserve"> CITATION Cor \l 1043 </w:instrText>
          </w:r>
          <w:r w:rsidRPr="00073590">
            <w:rPr>
              <w:i/>
              <w:iCs/>
            </w:rPr>
            <w:fldChar w:fldCharType="separate"/>
          </w:r>
          <w:r w:rsidRPr="00073590">
            <w:rPr>
              <w:i/>
              <w:iCs/>
            </w:rPr>
            <w:t>(Corporate Governance, sd)</w:t>
          </w:r>
          <w:r w:rsidRPr="00073590">
            <w:fldChar w:fldCharType="end"/>
          </w:r>
        </w:sdtContent>
      </w:sdt>
    </w:p>
    <w:p w14:paraId="2263D0E2" w14:textId="77777777" w:rsidR="00073590" w:rsidRPr="00073590" w:rsidRDefault="00073590" w:rsidP="00073590">
      <w:pPr>
        <w:rPr>
          <w:u w:val="single"/>
        </w:rPr>
      </w:pPr>
      <w:r w:rsidRPr="00073590">
        <w:rPr>
          <w:u w:val="single"/>
        </w:rPr>
        <w:t>Bad Press</w:t>
      </w:r>
    </w:p>
    <w:p w14:paraId="6A5141A5" w14:textId="77777777" w:rsidR="00073590" w:rsidRPr="00073590" w:rsidRDefault="00073590" w:rsidP="00073590">
      <w:r w:rsidRPr="00073590">
        <w:t xml:space="preserve">Allianz kwam de afgelopen jaren in het nieuws door de problemen met het </w:t>
      </w:r>
      <w:proofErr w:type="spellStart"/>
      <w:r w:rsidRPr="00073590">
        <w:t>Structured</w:t>
      </w:r>
      <w:proofErr w:type="spellEnd"/>
      <w:r w:rsidRPr="00073590">
        <w:t xml:space="preserve"> </w:t>
      </w:r>
      <w:proofErr w:type="spellStart"/>
      <w:r w:rsidRPr="00073590">
        <w:t>Alpha</w:t>
      </w:r>
      <w:proofErr w:type="spellEnd"/>
      <w:r w:rsidRPr="00073590">
        <w:t xml:space="preserve"> programma. Tijdens de coronacrash werden grote verliezen geleden door fouten in het risicobeheer. Uit onderzoeken bleek dat interne risico-informatie niet correct was doorgegeven.</w:t>
      </w:r>
    </w:p>
    <w:p w14:paraId="4A504516" w14:textId="77777777" w:rsidR="00073590" w:rsidRPr="00073590" w:rsidRDefault="00073590" w:rsidP="00073590">
      <w:r w:rsidRPr="00073590">
        <w:t>Dit leidde tot boetes en hoge schadevergoedingen in de Verenigde Staten. Allianz heeft daarna het interne toezicht aangescherpt en processen opnieuw ingericht. Het incident heeft de reputatie beschadigd, maar het bedrijf heeft maatregelen genomen om herhaling te voorkomen.</w:t>
      </w:r>
    </w:p>
    <w:p w14:paraId="0DB2A84A" w14:textId="71878E4F" w:rsidR="00073590" w:rsidRPr="00073590" w:rsidRDefault="00073590" w:rsidP="00A068F3"/>
    <w:p w14:paraId="1E2C7075" w14:textId="54FAC10C" w:rsidR="6B8211B3" w:rsidRDefault="6B8211B3">
      <w:pPr>
        <w:rPr>
          <w:b/>
          <w:bCs/>
        </w:rPr>
      </w:pPr>
    </w:p>
    <w:p w14:paraId="4D4C4107" w14:textId="77777777" w:rsidR="00F15968" w:rsidRPr="001D51BF" w:rsidRDefault="00073590" w:rsidP="001D51BF">
      <w:pPr>
        <w:pStyle w:val="Heading3"/>
      </w:pPr>
      <w:bookmarkStart w:id="9" w:name="_Toc218449548"/>
      <w:r w:rsidRPr="001D51BF">
        <w:t>1.2.</w:t>
      </w:r>
      <w:r w:rsidR="00F15968" w:rsidRPr="001D51BF">
        <w:t>6 BNP Paribas Asset Management</w:t>
      </w:r>
      <w:bookmarkEnd w:id="9"/>
    </w:p>
    <w:p w14:paraId="19D62C2F" w14:textId="016798F7" w:rsidR="00073590" w:rsidRDefault="00073590" w:rsidP="00073590">
      <w:pPr>
        <w:pStyle w:val="Heading2"/>
      </w:pPr>
    </w:p>
    <w:p w14:paraId="2653F210" w14:textId="77777777" w:rsidR="003E113C" w:rsidRPr="003E113C" w:rsidRDefault="003E113C" w:rsidP="003E113C">
      <w:pPr>
        <w:rPr>
          <w:u w:val="single"/>
        </w:rPr>
      </w:pPr>
      <w:r w:rsidRPr="003E113C">
        <w:rPr>
          <w:u w:val="single"/>
        </w:rPr>
        <w:t>Duurzaamheidsbeleid</w:t>
      </w:r>
    </w:p>
    <w:p w14:paraId="7D7A1AF6" w14:textId="77777777" w:rsidR="003E113C" w:rsidRPr="003E113C" w:rsidRDefault="003E113C" w:rsidP="003E113C">
      <w:r w:rsidRPr="003E113C">
        <w:t xml:space="preserve">BNP Paribas Asset Management staat bekend als een van de meest duurzame grote vermogensbeheerders in Europa. In hun </w:t>
      </w:r>
      <w:proofErr w:type="spellStart"/>
      <w:r w:rsidRPr="003E113C">
        <w:t>Sustainability</w:t>
      </w:r>
      <w:proofErr w:type="spellEnd"/>
      <w:r w:rsidRPr="003E113C">
        <w:t xml:space="preserve"> Report van 2023 geven zij aan dat ESG standaard onderdeel is van het beleggingsproces. BNP Paribas werkt met strikte uitsluitingscriteria. </w:t>
      </w:r>
      <w:sdt>
        <w:sdtPr>
          <w:id w:val="947117110"/>
          <w:citation/>
        </w:sdtPr>
        <w:sdtContent>
          <w:r w:rsidRPr="003E113C">
            <w:fldChar w:fldCharType="begin"/>
          </w:r>
          <w:r w:rsidRPr="003E113C">
            <w:instrText xml:space="preserve"> CITATION Bon \l 1043 </w:instrText>
          </w:r>
          <w:r w:rsidRPr="003E113C">
            <w:fldChar w:fldCharType="separate"/>
          </w:r>
          <w:r w:rsidRPr="003E113C">
            <w:t>(</w:t>
          </w:r>
          <w:r w:rsidRPr="003E113C">
            <w:rPr>
              <w:i/>
              <w:iCs/>
            </w:rPr>
            <w:t>Bonnafé</w:t>
          </w:r>
          <w:r w:rsidRPr="003E113C">
            <w:t xml:space="preserve"> (2024), sd)</w:t>
          </w:r>
          <w:r w:rsidRPr="003E113C">
            <w:fldChar w:fldCharType="end"/>
          </w:r>
        </w:sdtContent>
      </w:sdt>
      <w:r w:rsidRPr="003E113C">
        <w:t xml:space="preserve">. Het bedrijf investeert niet in kolenbedrijven en stelt beperkingen in voor olie en gas. Controversiële wapens zijn uitgesloten. Er is veel aandacht voor mensenrechten en goed bestuur. </w:t>
      </w:r>
    </w:p>
    <w:p w14:paraId="506956B0" w14:textId="77777777" w:rsidR="003E113C" w:rsidRPr="003E113C" w:rsidRDefault="003E113C" w:rsidP="003E113C">
      <w:r w:rsidRPr="003E113C">
        <w:t xml:space="preserve">De fondsen van BNP Paribas zijn volgens SFDR ingedeeld in Artikel 8 en Artikel 9 fondsen. De organisatie legt per fonds uit hoe de classificatie tot stand komt. In het jaarverslag worden ook de CO2-doelen en de resultaten van engagementactiviteiten beschreven. BNP Paribas publiceert elk jaar stemrapportages en hun Global </w:t>
      </w:r>
      <w:proofErr w:type="spellStart"/>
      <w:r w:rsidRPr="003E113C">
        <w:t>Sustainability</w:t>
      </w:r>
      <w:proofErr w:type="spellEnd"/>
      <w:r w:rsidRPr="003E113C">
        <w:t xml:space="preserve"> </w:t>
      </w:r>
      <w:proofErr w:type="spellStart"/>
      <w:r w:rsidRPr="003E113C">
        <w:t>Strategy</w:t>
      </w:r>
      <w:proofErr w:type="spellEnd"/>
      <w:r w:rsidRPr="003E113C">
        <w:t>.</w:t>
      </w:r>
    </w:p>
    <w:p w14:paraId="742F7992" w14:textId="77777777" w:rsidR="003E113C" w:rsidRPr="003E113C" w:rsidRDefault="003E113C" w:rsidP="003E113C">
      <w:r w:rsidRPr="003E113C">
        <w:t xml:space="preserve">BNP Paribas heeft een streng en uitgebreid duurzaamheidsbeleid dat diep is geïntegreerd in de beleggingsaanpak. De organisatie behoort tot de koplopers op dit gebied. </w:t>
      </w:r>
      <w:sdt>
        <w:sdtPr>
          <w:id w:val="416831072"/>
          <w:citation/>
        </w:sdtPr>
        <w:sdtContent>
          <w:r w:rsidRPr="003E113C">
            <w:fldChar w:fldCharType="begin"/>
          </w:r>
          <w:r w:rsidRPr="003E113C">
            <w:instrText xml:space="preserve"> CITATION BNP \l 1043 </w:instrText>
          </w:r>
          <w:r w:rsidRPr="003E113C">
            <w:fldChar w:fldCharType="separate"/>
          </w:r>
          <w:r w:rsidRPr="003E113C">
            <w:t>((</w:t>
          </w:r>
          <w:r w:rsidRPr="003E113C">
            <w:rPr>
              <w:i/>
              <w:iCs/>
            </w:rPr>
            <w:t>BNP</w:t>
          </w:r>
          <w:r w:rsidRPr="003E113C">
            <w:t xml:space="preserve"> Paribas, 2025), sd)</w:t>
          </w:r>
          <w:r w:rsidRPr="003E113C">
            <w:fldChar w:fldCharType="end"/>
          </w:r>
        </w:sdtContent>
      </w:sdt>
    </w:p>
    <w:p w14:paraId="5C57DBDC" w14:textId="77777777" w:rsidR="003E113C" w:rsidRPr="003E113C" w:rsidRDefault="003E113C" w:rsidP="003E113C">
      <w:pPr>
        <w:rPr>
          <w:u w:val="single"/>
        </w:rPr>
      </w:pPr>
      <w:proofErr w:type="spellStart"/>
      <w:r w:rsidRPr="003E113C">
        <w:rPr>
          <w:u w:val="single"/>
        </w:rPr>
        <w:t>Governance</w:t>
      </w:r>
      <w:proofErr w:type="spellEnd"/>
    </w:p>
    <w:p w14:paraId="319A70A6" w14:textId="77777777" w:rsidR="003E113C" w:rsidRPr="003E113C" w:rsidRDefault="003E113C" w:rsidP="003E113C">
      <w:r w:rsidRPr="003E113C">
        <w:t>BNP Paribas Asset Management werkt met een duidelijke bestuursstructuur die bestaat uit een directieteam, een raad van commissarissen en commissies die toezien op risico’s en naleving. Het bedrijf beschrijft in het jaarverslag hoe besluiten worden genomen en hoe toezicht wordt georganiseerd.</w:t>
      </w:r>
    </w:p>
    <w:p w14:paraId="0CE04F19" w14:textId="77777777" w:rsidR="003E113C" w:rsidRPr="003E113C" w:rsidRDefault="003E113C" w:rsidP="003E113C">
      <w:r w:rsidRPr="003E113C">
        <w:t>Het beloningsbeleid richt zich op duurzame prestaties. Medewerkers worden vooral beoordeeld op hun bijdrage op de lange termijn in plaats van korte termijnwinsten. Klanten krijgen inzicht in stemresultaten, beleid en jaarlijkse rapportages.</w:t>
      </w:r>
    </w:p>
    <w:p w14:paraId="14472DCE" w14:textId="77777777" w:rsidR="003E113C" w:rsidRPr="003E113C" w:rsidRDefault="003E113C" w:rsidP="003E113C">
      <w:pPr>
        <w:rPr>
          <w:i/>
          <w:iCs/>
        </w:rPr>
      </w:pPr>
      <w:r w:rsidRPr="003E113C">
        <w:t xml:space="preserve">BNP Paribas heeft een stabiele bestuurscultuur. De rollen en verantwoordelijkheden zijn helder. Er is weinig verloop in het bestuur. </w:t>
      </w:r>
      <w:sdt>
        <w:sdtPr>
          <w:rPr>
            <w:i/>
            <w:iCs/>
          </w:rPr>
          <w:id w:val="-913305646"/>
          <w:citation/>
        </w:sdtPr>
        <w:sdtContent>
          <w:r w:rsidRPr="003E113C">
            <w:rPr>
              <w:i/>
              <w:iCs/>
            </w:rPr>
            <w:fldChar w:fldCharType="begin"/>
          </w:r>
          <w:r w:rsidRPr="003E113C">
            <w:rPr>
              <w:i/>
              <w:iCs/>
            </w:rPr>
            <w:instrText xml:space="preserve"> CITATION Cor \l 1043 </w:instrText>
          </w:r>
          <w:r w:rsidRPr="003E113C">
            <w:rPr>
              <w:i/>
              <w:iCs/>
            </w:rPr>
            <w:fldChar w:fldCharType="separate"/>
          </w:r>
          <w:r w:rsidRPr="003E113C">
            <w:rPr>
              <w:i/>
              <w:iCs/>
            </w:rPr>
            <w:t>(Corporate Governance, sd)</w:t>
          </w:r>
          <w:r w:rsidRPr="003E113C">
            <w:fldChar w:fldCharType="end"/>
          </w:r>
        </w:sdtContent>
      </w:sdt>
    </w:p>
    <w:p w14:paraId="09B4E266" w14:textId="77777777" w:rsidR="003E113C" w:rsidRPr="003E113C" w:rsidRDefault="003E113C" w:rsidP="003E113C">
      <w:pPr>
        <w:rPr>
          <w:u w:val="single"/>
        </w:rPr>
      </w:pPr>
      <w:r w:rsidRPr="003E113C">
        <w:rPr>
          <w:u w:val="single"/>
        </w:rPr>
        <w:t>Bad Press</w:t>
      </w:r>
    </w:p>
    <w:p w14:paraId="7B5E1D1F" w14:textId="77777777" w:rsidR="003E113C" w:rsidRPr="003E113C" w:rsidRDefault="003E113C" w:rsidP="003E113C">
      <w:r w:rsidRPr="003E113C">
        <w:t xml:space="preserve">BNP Paribas Asset Management heeft de afgelopen vijf jaar weinig negatieve publiciteit gehad. Er zijn geen fraudezaken of grote </w:t>
      </w:r>
      <w:proofErr w:type="spellStart"/>
      <w:r w:rsidRPr="003E113C">
        <w:t>governanceproblemen</w:t>
      </w:r>
      <w:proofErr w:type="spellEnd"/>
      <w:r w:rsidRPr="003E113C">
        <w:t xml:space="preserve"> gemeld.</w:t>
      </w:r>
    </w:p>
    <w:p w14:paraId="649025B2" w14:textId="77777777" w:rsidR="003E113C" w:rsidRPr="003E113C" w:rsidRDefault="003E113C" w:rsidP="003E113C">
      <w:r w:rsidRPr="003E113C">
        <w:t>Soms is er kritiek op het klimaatbeleid. Organisaties vinden dat BNP Paribas strenger mag zijn in het uitsluiten van fossiele bedrijven. Dit heeft geleid tot beleidsaanpassingen. Het bedrijf heeft daarna strengere richtlijnen opgesteld.</w:t>
      </w:r>
    </w:p>
    <w:p w14:paraId="09030C30" w14:textId="77777777" w:rsidR="003E113C" w:rsidRPr="003E113C" w:rsidRDefault="003E113C" w:rsidP="003E113C">
      <w:r w:rsidRPr="003E113C">
        <w:t>De reputatie is stabiel en er zijn geen incidenten geweest die het vertrouwen van klanten aantasten.</w:t>
      </w:r>
    </w:p>
    <w:p w14:paraId="6E3609F7" w14:textId="77777777" w:rsidR="00BB28A8" w:rsidRDefault="003E113C" w:rsidP="001D51BF">
      <w:pPr>
        <w:pStyle w:val="Heading3"/>
      </w:pPr>
      <w:bookmarkStart w:id="10" w:name="_Toc218449549"/>
      <w:r>
        <w:t xml:space="preserve">1.2.7 </w:t>
      </w:r>
      <w:proofErr w:type="spellStart"/>
      <w:r w:rsidR="00BB28A8" w:rsidRPr="00BB28A8">
        <w:t>Vanguard</w:t>
      </w:r>
      <w:bookmarkEnd w:id="10"/>
      <w:proofErr w:type="spellEnd"/>
    </w:p>
    <w:p w14:paraId="54BC69E0" w14:textId="77777777" w:rsidR="00643660" w:rsidRPr="00643660" w:rsidRDefault="00643660" w:rsidP="00643660">
      <w:pPr>
        <w:rPr>
          <w:u w:val="single"/>
        </w:rPr>
      </w:pPr>
      <w:proofErr w:type="spellStart"/>
      <w:r w:rsidRPr="00643660">
        <w:rPr>
          <w:u w:val="single"/>
        </w:rPr>
        <w:t>Duurzaanheidsbeleid</w:t>
      </w:r>
      <w:proofErr w:type="spellEnd"/>
    </w:p>
    <w:p w14:paraId="5B369E4D" w14:textId="77777777" w:rsidR="00643660" w:rsidRPr="00643660" w:rsidRDefault="00643660" w:rsidP="00643660">
      <w:proofErr w:type="spellStart"/>
      <w:r w:rsidRPr="00643660">
        <w:t>Vanguard</w:t>
      </w:r>
      <w:proofErr w:type="spellEnd"/>
      <w:r w:rsidRPr="00643660">
        <w:t xml:space="preserve"> heeft een basis-ESG-beleid, maar minder uitgebreid dan Europese aanbieders. In rapportages ligt de nadruk vooral op </w:t>
      </w:r>
      <w:proofErr w:type="spellStart"/>
      <w:r w:rsidRPr="00643660">
        <w:t>governance</w:t>
      </w:r>
      <w:proofErr w:type="spellEnd"/>
      <w:r w:rsidRPr="00643660">
        <w:t xml:space="preserve"> en </w:t>
      </w:r>
      <w:proofErr w:type="spellStart"/>
      <w:r w:rsidRPr="00643660">
        <w:t>langetermijnrisico’s</w:t>
      </w:r>
      <w:proofErr w:type="spellEnd"/>
      <w:r w:rsidRPr="00643660">
        <w:t xml:space="preserve">. Het grootste deel van hun fondsen valt onder Artikel 6. </w:t>
      </w:r>
      <w:proofErr w:type="spellStart"/>
      <w:r w:rsidRPr="00643660">
        <w:t>Vanguard</w:t>
      </w:r>
      <w:proofErr w:type="spellEnd"/>
      <w:r w:rsidRPr="00643660">
        <w:t xml:space="preserve"> heeft enkele Artikel 8 fondsen en vrijwel geen Artikel 9 fondsen. Het bedrijf staat bekend om lage kosten en minder focus op duurzaamheid. </w:t>
      </w:r>
      <w:sdt>
        <w:sdtPr>
          <w:rPr>
            <w:i/>
            <w:iCs/>
          </w:rPr>
          <w:id w:val="1900630654"/>
          <w:citation/>
        </w:sdtPr>
        <w:sdtContent>
          <w:r w:rsidRPr="00643660">
            <w:rPr>
              <w:i/>
              <w:iCs/>
            </w:rPr>
            <w:fldChar w:fldCharType="begin"/>
          </w:r>
          <w:r w:rsidRPr="00643660">
            <w:rPr>
              <w:i/>
              <w:iCs/>
            </w:rPr>
            <w:instrText xml:space="preserve"> CITATION Van \l 1043 </w:instrText>
          </w:r>
          <w:r w:rsidRPr="00643660">
            <w:rPr>
              <w:i/>
              <w:iCs/>
            </w:rPr>
            <w:fldChar w:fldCharType="separate"/>
          </w:r>
          <w:r w:rsidRPr="00643660">
            <w:rPr>
              <w:i/>
              <w:iCs/>
            </w:rPr>
            <w:t>((Vanguard AG, 2025), sd)</w:t>
          </w:r>
          <w:r w:rsidRPr="00643660">
            <w:fldChar w:fldCharType="end"/>
          </w:r>
        </w:sdtContent>
      </w:sdt>
    </w:p>
    <w:p w14:paraId="5963C756" w14:textId="77777777" w:rsidR="00643660" w:rsidRPr="00643660" w:rsidRDefault="00643660" w:rsidP="00643660">
      <w:r w:rsidRPr="00643660">
        <w:t xml:space="preserve">Het beleid is aanwezig, maar beperkt. </w:t>
      </w:r>
      <w:proofErr w:type="spellStart"/>
      <w:r w:rsidRPr="00643660">
        <w:t>Vanguard</w:t>
      </w:r>
      <w:proofErr w:type="spellEnd"/>
      <w:r w:rsidRPr="00643660">
        <w:t xml:space="preserve"> scoort daardoor laag op ESG-gebied.</w:t>
      </w:r>
    </w:p>
    <w:p w14:paraId="63E32680" w14:textId="77777777" w:rsidR="00643660" w:rsidRPr="00643660" w:rsidRDefault="00643660" w:rsidP="00643660">
      <w:pPr>
        <w:rPr>
          <w:u w:val="single"/>
        </w:rPr>
      </w:pPr>
      <w:proofErr w:type="spellStart"/>
      <w:r w:rsidRPr="00643660">
        <w:rPr>
          <w:u w:val="single"/>
        </w:rPr>
        <w:t>Governance</w:t>
      </w:r>
      <w:proofErr w:type="spellEnd"/>
    </w:p>
    <w:p w14:paraId="1C48EACC" w14:textId="77777777" w:rsidR="00643660" w:rsidRPr="00643660" w:rsidRDefault="00643660" w:rsidP="00643660">
      <w:proofErr w:type="spellStart"/>
      <w:r w:rsidRPr="00643660">
        <w:t>Vanguard</w:t>
      </w:r>
      <w:proofErr w:type="spellEnd"/>
      <w:r w:rsidRPr="00643660">
        <w:t xml:space="preserve"> heeft een unieke structuur. De fondsen zijn indirect eigendom van de beleggers. Hierdoor zijn er geen externe aandeelhouders die winst willen maximaliseren. De organisatie richt zich op lage kosten en stabiele processen.</w:t>
      </w:r>
    </w:p>
    <w:p w14:paraId="346455F9" w14:textId="77777777" w:rsidR="00643660" w:rsidRPr="00643660" w:rsidRDefault="00643660" w:rsidP="00643660">
      <w:r w:rsidRPr="00643660">
        <w:t xml:space="preserve">In de jaarlijkse rapporten legt </w:t>
      </w:r>
      <w:proofErr w:type="spellStart"/>
      <w:r w:rsidRPr="00643660">
        <w:t>Vanguard</w:t>
      </w:r>
      <w:proofErr w:type="spellEnd"/>
      <w:r w:rsidRPr="00643660">
        <w:t xml:space="preserve"> uit hoe het toezicht werkt. De focus ligt vooral op corporate </w:t>
      </w:r>
      <w:proofErr w:type="spellStart"/>
      <w:r w:rsidRPr="00643660">
        <w:t>governance</w:t>
      </w:r>
      <w:proofErr w:type="spellEnd"/>
      <w:r w:rsidRPr="00643660">
        <w:t xml:space="preserve"> van bedrijven waarin zij investeren. </w:t>
      </w:r>
      <w:proofErr w:type="spellStart"/>
      <w:r w:rsidRPr="00643660">
        <w:t>Vanguard</w:t>
      </w:r>
      <w:proofErr w:type="spellEnd"/>
      <w:r w:rsidRPr="00643660">
        <w:t xml:space="preserve"> beoordeelt bestuur, risico’s en aandeelhoudersrechten.</w:t>
      </w:r>
    </w:p>
    <w:p w14:paraId="0842FE56" w14:textId="77777777" w:rsidR="00643660" w:rsidRPr="00643660" w:rsidRDefault="00643660" w:rsidP="00643660">
      <w:r w:rsidRPr="00643660">
        <w:t>De interne structuur is eenvoudig en functioneel. Het bedrijf werkt volgens vaste processen. De transparantie over ESG en duurzaamheid is beperkt in vergelijking met Europese partijen.</w:t>
      </w:r>
    </w:p>
    <w:p w14:paraId="0D23EAA8" w14:textId="77777777" w:rsidR="00643660" w:rsidRPr="00643660" w:rsidRDefault="00643660" w:rsidP="00643660">
      <w:pPr>
        <w:rPr>
          <w:u w:val="single"/>
        </w:rPr>
      </w:pPr>
      <w:r w:rsidRPr="00643660">
        <w:rPr>
          <w:u w:val="single"/>
        </w:rPr>
        <w:t>Bad Press</w:t>
      </w:r>
    </w:p>
    <w:p w14:paraId="35EDF876" w14:textId="77777777" w:rsidR="00643660" w:rsidRPr="00643660" w:rsidRDefault="00643660" w:rsidP="00643660">
      <w:proofErr w:type="spellStart"/>
      <w:r w:rsidRPr="00643660">
        <w:t>Vanguard</w:t>
      </w:r>
      <w:proofErr w:type="spellEnd"/>
      <w:r w:rsidRPr="00643660">
        <w:t xml:space="preserve"> kreeg de afgelopen jaren veel kritiek op het gebied van duurzaamheid. Verschillende organisaties vinden dat </w:t>
      </w:r>
      <w:proofErr w:type="spellStart"/>
      <w:r w:rsidRPr="00643660">
        <w:t>Vanguard</w:t>
      </w:r>
      <w:proofErr w:type="spellEnd"/>
      <w:r w:rsidRPr="00643660">
        <w:t xml:space="preserve"> te weinig steun geeft aan klimaatresoluties.</w:t>
      </w:r>
    </w:p>
    <w:p w14:paraId="0561A103" w14:textId="77777777" w:rsidR="00643660" w:rsidRPr="00643660" w:rsidRDefault="00643660" w:rsidP="00643660">
      <w:r w:rsidRPr="00643660">
        <w:t xml:space="preserve">In 2022 stapte </w:t>
      </w:r>
      <w:proofErr w:type="spellStart"/>
      <w:r w:rsidRPr="00643660">
        <w:t>Vanguard</w:t>
      </w:r>
      <w:proofErr w:type="spellEnd"/>
      <w:r w:rsidRPr="00643660">
        <w:t xml:space="preserve"> uit de Net Zero Asset Managers </w:t>
      </w:r>
      <w:proofErr w:type="spellStart"/>
      <w:r w:rsidRPr="00643660">
        <w:t>Initiative</w:t>
      </w:r>
      <w:proofErr w:type="spellEnd"/>
      <w:r w:rsidRPr="00643660">
        <w:t xml:space="preserve">. Dit zorgde voor extra aandacht in de media. Ook kritiseren </w:t>
      </w:r>
      <w:proofErr w:type="spellStart"/>
      <w:r w:rsidRPr="00643660">
        <w:t>NGO’s</w:t>
      </w:r>
      <w:proofErr w:type="spellEnd"/>
      <w:r w:rsidRPr="00643660">
        <w:t xml:space="preserve"> het bedrijf voor een passieve houding bij klimaatbeleid.</w:t>
      </w:r>
    </w:p>
    <w:p w14:paraId="0D6A90E9" w14:textId="77777777" w:rsidR="00643660" w:rsidRPr="00643660" w:rsidRDefault="00643660" w:rsidP="00643660">
      <w:r w:rsidRPr="00643660">
        <w:t xml:space="preserve">Er zijn geen fraudezaken of ernstige bestuursproblemen. De reputatieproblemen zijn vooral gerelateerd aan duurzaamheid en niet aan interne </w:t>
      </w:r>
      <w:proofErr w:type="spellStart"/>
      <w:r w:rsidRPr="00643660">
        <w:t>governance</w:t>
      </w:r>
      <w:proofErr w:type="spellEnd"/>
      <w:r w:rsidRPr="00643660">
        <w:t>.</w:t>
      </w:r>
    </w:p>
    <w:p w14:paraId="07391C65" w14:textId="77777777" w:rsidR="00BB28A8" w:rsidRDefault="00BB28A8" w:rsidP="00BB28A8"/>
    <w:p w14:paraId="6513174F" w14:textId="77777777" w:rsidR="00643660" w:rsidRDefault="00643660" w:rsidP="00BB28A8"/>
    <w:p w14:paraId="3EE028E0" w14:textId="77777777" w:rsidR="00643660" w:rsidRDefault="00643660" w:rsidP="00BB28A8"/>
    <w:p w14:paraId="1377E9DA" w14:textId="77777777" w:rsidR="00643660" w:rsidRDefault="00643660" w:rsidP="00BB28A8"/>
    <w:p w14:paraId="5FC8F7BF" w14:textId="77777777" w:rsidR="00643660" w:rsidRDefault="00643660" w:rsidP="00BB28A8"/>
    <w:p w14:paraId="00664289" w14:textId="77777777" w:rsidR="00643660" w:rsidRDefault="00643660" w:rsidP="00BB28A8"/>
    <w:p w14:paraId="1FDEE82E" w14:textId="16892E29" w:rsidR="00D46FCC" w:rsidRDefault="00D46FCC" w:rsidP="001D51BF">
      <w:pPr>
        <w:pStyle w:val="Heading3"/>
      </w:pPr>
      <w:bookmarkStart w:id="11" w:name="_Toc218449550"/>
      <w:r>
        <w:t>1.2.8</w:t>
      </w:r>
      <w:r w:rsidRPr="00C56B8C">
        <w:t xml:space="preserve"> </w:t>
      </w:r>
      <w:proofErr w:type="spellStart"/>
      <w:r w:rsidR="00C56B8C" w:rsidRPr="00C56B8C">
        <w:t>BlackRock</w:t>
      </w:r>
      <w:bookmarkEnd w:id="11"/>
      <w:proofErr w:type="spellEnd"/>
    </w:p>
    <w:p w14:paraId="3CBBD044" w14:textId="77777777" w:rsidR="00F97BD2" w:rsidRPr="00F97BD2" w:rsidRDefault="00F97BD2" w:rsidP="00F97BD2">
      <w:pPr>
        <w:rPr>
          <w:u w:val="single"/>
        </w:rPr>
      </w:pPr>
      <w:r w:rsidRPr="00F97BD2">
        <w:rPr>
          <w:u w:val="single"/>
        </w:rPr>
        <w:t>Duurzaamheidsbeleid</w:t>
      </w:r>
    </w:p>
    <w:p w14:paraId="0C318351" w14:textId="77777777" w:rsidR="00F97BD2" w:rsidRPr="00F97BD2" w:rsidRDefault="00F97BD2" w:rsidP="00F97BD2">
      <w:proofErr w:type="spellStart"/>
      <w:r w:rsidRPr="00F97BD2">
        <w:t>BlackRock</w:t>
      </w:r>
      <w:proofErr w:type="spellEnd"/>
      <w:r w:rsidRPr="00F97BD2">
        <w:t xml:space="preserve"> heeft een breed duurzaamheidsbeleid dat centraal staat in hun rapportages. ESG-data en risico’s worden actief meegenomen in beslissingen. De organisatie biedt veel Artikel 8 fondsen aan en meerdere Artikel 9 fondsen gericht op klimaat en duurzame energie.</w:t>
      </w:r>
    </w:p>
    <w:p w14:paraId="62878042" w14:textId="77777777" w:rsidR="00F97BD2" w:rsidRPr="00F97BD2" w:rsidRDefault="00F97BD2" w:rsidP="00F97BD2">
      <w:proofErr w:type="spellStart"/>
      <w:r w:rsidRPr="00F97BD2">
        <w:t>BlackRock</w:t>
      </w:r>
      <w:proofErr w:type="spellEnd"/>
      <w:r w:rsidRPr="00F97BD2">
        <w:t xml:space="preserve"> voert veel gesprekken met bedrijven over klimaatbeleid en goed bestuur. Tegelijk ontvangt het bedrijf kritiek uit verschillende hoeken, vooral door discussies rondom ESG in de Verenigde Staten.</w:t>
      </w:r>
    </w:p>
    <w:p w14:paraId="035048E9" w14:textId="77777777" w:rsidR="00F97BD2" w:rsidRPr="00F97BD2" w:rsidRDefault="00F97BD2" w:rsidP="00F97BD2">
      <w:r w:rsidRPr="00F97BD2">
        <w:t xml:space="preserve">Ondanks deze discussies is het beleid goed uitgewerkt en duidelijk beschreven in hun jaarverslagen. </w:t>
      </w:r>
      <w:sdt>
        <w:sdtPr>
          <w:rPr>
            <w:i/>
            <w:iCs/>
          </w:rPr>
          <w:id w:val="1196895186"/>
          <w:citation/>
        </w:sdtPr>
        <w:sdtContent>
          <w:r w:rsidRPr="00F97BD2">
            <w:rPr>
              <w:i/>
              <w:iCs/>
            </w:rPr>
            <w:fldChar w:fldCharType="begin"/>
          </w:r>
          <w:r w:rsidRPr="00F97BD2">
            <w:rPr>
              <w:i/>
              <w:iCs/>
            </w:rPr>
            <w:instrText xml:space="preserve"> CITATION Ont \l 1043 </w:instrText>
          </w:r>
          <w:r w:rsidRPr="00F97BD2">
            <w:rPr>
              <w:i/>
              <w:iCs/>
            </w:rPr>
            <w:fldChar w:fldCharType="separate"/>
          </w:r>
          <w:r w:rsidRPr="00F97BD2">
            <w:rPr>
              <w:i/>
              <w:iCs/>
            </w:rPr>
            <w:t>((Ontdek Duurzaam en Transitiebeleggen | BlackRock, z.d.), sd)</w:t>
          </w:r>
          <w:r w:rsidRPr="00F97BD2">
            <w:fldChar w:fldCharType="end"/>
          </w:r>
        </w:sdtContent>
      </w:sdt>
    </w:p>
    <w:p w14:paraId="3A09B975" w14:textId="77777777" w:rsidR="00F97BD2" w:rsidRPr="00F97BD2" w:rsidRDefault="00F97BD2" w:rsidP="00F97BD2">
      <w:pPr>
        <w:rPr>
          <w:u w:val="single"/>
        </w:rPr>
      </w:pPr>
      <w:proofErr w:type="spellStart"/>
      <w:r w:rsidRPr="00F97BD2">
        <w:rPr>
          <w:u w:val="single"/>
        </w:rPr>
        <w:t>Governance</w:t>
      </w:r>
      <w:proofErr w:type="spellEnd"/>
    </w:p>
    <w:p w14:paraId="221C9ACB" w14:textId="77777777" w:rsidR="00F97BD2" w:rsidRPr="00F97BD2" w:rsidRDefault="00F97BD2" w:rsidP="00F97BD2">
      <w:proofErr w:type="spellStart"/>
      <w:r w:rsidRPr="00F97BD2">
        <w:t>BlackRock</w:t>
      </w:r>
      <w:proofErr w:type="spellEnd"/>
      <w:r w:rsidRPr="00F97BD2">
        <w:t xml:space="preserve"> is de grootste vermogensbeheerder ter wereld en heeft een complexe bestuursstructuur. De organisatie bestaat uit een directieteam, commissies voor risico’s en regelgeving en een raad van bestuur.</w:t>
      </w:r>
    </w:p>
    <w:p w14:paraId="3E6B2DB2" w14:textId="77777777" w:rsidR="00F97BD2" w:rsidRPr="00F97BD2" w:rsidRDefault="00F97BD2" w:rsidP="00F97BD2">
      <w:r w:rsidRPr="00F97BD2">
        <w:t xml:space="preserve">In jaarverslagen publiceert </w:t>
      </w:r>
      <w:proofErr w:type="spellStart"/>
      <w:r w:rsidRPr="00F97BD2">
        <w:t>BlackRock</w:t>
      </w:r>
      <w:proofErr w:type="spellEnd"/>
      <w:r w:rsidRPr="00F97BD2">
        <w:t xml:space="preserve"> gedetailleerde informatie over risicobeheer, interne controles en hun stembeleid. </w:t>
      </w:r>
      <w:proofErr w:type="spellStart"/>
      <w:r w:rsidRPr="00F97BD2">
        <w:t>Governance</w:t>
      </w:r>
      <w:proofErr w:type="spellEnd"/>
      <w:r w:rsidRPr="00F97BD2">
        <w:t xml:space="preserve"> is een belangrijk onderdeel van hun beleggingsproces.</w:t>
      </w:r>
    </w:p>
    <w:p w14:paraId="0AA85615" w14:textId="1F9DD28B" w:rsidR="00F97BD2" w:rsidRPr="00F97BD2" w:rsidRDefault="00F97BD2" w:rsidP="00F97BD2">
      <w:proofErr w:type="spellStart"/>
      <w:r w:rsidRPr="00F97BD2">
        <w:t>BlackRock</w:t>
      </w:r>
      <w:proofErr w:type="spellEnd"/>
      <w:r w:rsidRPr="00F97BD2">
        <w:t xml:space="preserve"> communiceert duidelijk richting klanten. De rapportages zijn uitgebreid en makkelijk te vinden. Er zijn geen grote bestuursproblemen gemeld.</w:t>
      </w:r>
    </w:p>
    <w:p w14:paraId="76FB26C3" w14:textId="77777777" w:rsidR="00F97BD2" w:rsidRPr="00F97BD2" w:rsidRDefault="00F97BD2" w:rsidP="00F97BD2">
      <w:pPr>
        <w:rPr>
          <w:u w:val="single"/>
        </w:rPr>
      </w:pPr>
      <w:r w:rsidRPr="00F97BD2">
        <w:rPr>
          <w:u w:val="single"/>
        </w:rPr>
        <w:t>Bad Press</w:t>
      </w:r>
    </w:p>
    <w:p w14:paraId="1C0AFD74" w14:textId="77777777" w:rsidR="00F97BD2" w:rsidRPr="00F97BD2" w:rsidRDefault="00F97BD2" w:rsidP="00F97BD2">
      <w:proofErr w:type="spellStart"/>
      <w:r w:rsidRPr="00F97BD2">
        <w:t>BlackRock</w:t>
      </w:r>
      <w:proofErr w:type="spellEnd"/>
      <w:r w:rsidRPr="00F97BD2">
        <w:t xml:space="preserve"> staat vaak in de media vanwege discussies rondom duurzaamheid. In de Verenigde Staten is er kritiek dat </w:t>
      </w:r>
      <w:proofErr w:type="spellStart"/>
      <w:r w:rsidRPr="00F97BD2">
        <w:t>BlackRock</w:t>
      </w:r>
      <w:proofErr w:type="spellEnd"/>
      <w:r w:rsidRPr="00F97BD2">
        <w:t xml:space="preserve"> te veel focust op ESG. In Europa is de kritiek juist dat </w:t>
      </w:r>
      <w:proofErr w:type="spellStart"/>
      <w:r w:rsidRPr="00F97BD2">
        <w:t>BlackRock</w:t>
      </w:r>
      <w:proofErr w:type="spellEnd"/>
      <w:r w:rsidRPr="00F97BD2">
        <w:t xml:space="preserve"> niet ver genoeg gaat.</w:t>
      </w:r>
    </w:p>
    <w:p w14:paraId="6CAA134B" w14:textId="77777777" w:rsidR="00F97BD2" w:rsidRPr="00F97BD2" w:rsidRDefault="00F97BD2" w:rsidP="00F97BD2">
      <w:r w:rsidRPr="00F97BD2">
        <w:t>Deze politieke discussie beïnvloedt de reputatie. Het bedrijf ligt onder een vergrootglas vanwege de omvang en invloed.</w:t>
      </w:r>
    </w:p>
    <w:p w14:paraId="53B32160" w14:textId="77777777" w:rsidR="00F97BD2" w:rsidRPr="00F97BD2" w:rsidRDefault="00F97BD2" w:rsidP="00F97BD2">
      <w:r w:rsidRPr="00F97BD2">
        <w:t xml:space="preserve">Er zijn geen grote schandalen, juridische problemen of </w:t>
      </w:r>
      <w:proofErr w:type="spellStart"/>
      <w:r w:rsidRPr="00F97BD2">
        <w:t>governancefouten</w:t>
      </w:r>
      <w:proofErr w:type="spellEnd"/>
      <w:r w:rsidRPr="00F97BD2">
        <w:t>. De negatieve pers draait vooral om maatschappelijke en politieke discussies, niet om interne misstanden.</w:t>
      </w:r>
    </w:p>
    <w:p w14:paraId="716A4982" w14:textId="77777777" w:rsidR="00643660" w:rsidRPr="00BB28A8" w:rsidRDefault="00643660" w:rsidP="00BB28A8"/>
    <w:p w14:paraId="189150D1" w14:textId="77777777" w:rsidR="00073590" w:rsidRDefault="00073590" w:rsidP="00BB28A8">
      <w:pPr>
        <w:pStyle w:val="Heading2"/>
      </w:pPr>
    </w:p>
    <w:p w14:paraId="3D2D6AF0" w14:textId="014B368F" w:rsidR="00B47B45" w:rsidRPr="00B47B45" w:rsidRDefault="00B47B45" w:rsidP="00B47B45"/>
    <w:p w14:paraId="126C52E1" w14:textId="350FEA95" w:rsidR="00B47B45" w:rsidRPr="00082859" w:rsidRDefault="00082859" w:rsidP="00082859">
      <w:pPr>
        <w:pStyle w:val="Heading2"/>
        <w:rPr>
          <w:sz w:val="32"/>
          <w:szCs w:val="32"/>
        </w:rPr>
      </w:pPr>
      <w:bookmarkStart w:id="12" w:name="_Toc218449551"/>
      <w:r w:rsidRPr="00082859">
        <w:rPr>
          <w:sz w:val="32"/>
          <w:szCs w:val="32"/>
        </w:rPr>
        <w:t xml:space="preserve">1.3 </w:t>
      </w:r>
      <w:r w:rsidR="00B47B45" w:rsidRPr="00082859">
        <w:rPr>
          <w:sz w:val="32"/>
          <w:szCs w:val="32"/>
        </w:rPr>
        <w:t>Beslissingsmatrix</w:t>
      </w:r>
      <w:bookmarkEnd w:id="12"/>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7"/>
        <w:gridCol w:w="2162"/>
        <w:gridCol w:w="1901"/>
        <w:gridCol w:w="1665"/>
        <w:gridCol w:w="979"/>
      </w:tblGrid>
      <w:tr w:rsidR="00B47B45" w:rsidRPr="00B47B45" w14:paraId="18E32767" w14:textId="77777777" w:rsidTr="00B47B45">
        <w:trPr>
          <w:tblHeader/>
          <w:tblCellSpacing w:w="15" w:type="dxa"/>
        </w:trPr>
        <w:tc>
          <w:tcPr>
            <w:tcW w:w="0" w:type="auto"/>
            <w:vAlign w:val="center"/>
            <w:hideMark/>
          </w:tcPr>
          <w:p w14:paraId="60B44579" w14:textId="77777777" w:rsidR="00B47B45" w:rsidRPr="00B47B45" w:rsidRDefault="00B47B45" w:rsidP="00B47B45">
            <w:pPr>
              <w:rPr>
                <w:b/>
                <w:bCs/>
              </w:rPr>
            </w:pPr>
            <w:r w:rsidRPr="00B47B45">
              <w:rPr>
                <w:b/>
                <w:bCs/>
              </w:rPr>
              <w:t>Vermogensbeheerder</w:t>
            </w:r>
          </w:p>
        </w:tc>
        <w:tc>
          <w:tcPr>
            <w:tcW w:w="0" w:type="auto"/>
            <w:vAlign w:val="center"/>
            <w:hideMark/>
          </w:tcPr>
          <w:p w14:paraId="7EDA1496" w14:textId="77777777" w:rsidR="00B47B45" w:rsidRPr="00B47B45" w:rsidRDefault="00B47B45" w:rsidP="00B47B45">
            <w:pPr>
              <w:rPr>
                <w:b/>
                <w:bCs/>
              </w:rPr>
            </w:pPr>
            <w:r w:rsidRPr="00B47B45">
              <w:rPr>
                <w:b/>
                <w:bCs/>
              </w:rPr>
              <w:t>Duurzaamheid (60%)</w:t>
            </w:r>
          </w:p>
        </w:tc>
        <w:tc>
          <w:tcPr>
            <w:tcW w:w="0" w:type="auto"/>
            <w:vAlign w:val="center"/>
            <w:hideMark/>
          </w:tcPr>
          <w:p w14:paraId="0F54B256" w14:textId="77777777" w:rsidR="00B47B45" w:rsidRPr="00B47B45" w:rsidRDefault="00B47B45" w:rsidP="00B47B45">
            <w:pPr>
              <w:rPr>
                <w:b/>
                <w:bCs/>
              </w:rPr>
            </w:pPr>
            <w:proofErr w:type="spellStart"/>
            <w:r w:rsidRPr="00B47B45">
              <w:rPr>
                <w:b/>
                <w:bCs/>
              </w:rPr>
              <w:t>Governance</w:t>
            </w:r>
            <w:proofErr w:type="spellEnd"/>
            <w:r w:rsidRPr="00B47B45">
              <w:rPr>
                <w:b/>
                <w:bCs/>
              </w:rPr>
              <w:t xml:space="preserve"> (30%)</w:t>
            </w:r>
          </w:p>
        </w:tc>
        <w:tc>
          <w:tcPr>
            <w:tcW w:w="0" w:type="auto"/>
            <w:vAlign w:val="center"/>
            <w:hideMark/>
          </w:tcPr>
          <w:p w14:paraId="3F4A39D3" w14:textId="77777777" w:rsidR="00B47B45" w:rsidRPr="00B47B45" w:rsidRDefault="00B47B45" w:rsidP="00B47B45">
            <w:pPr>
              <w:rPr>
                <w:b/>
                <w:bCs/>
              </w:rPr>
            </w:pPr>
            <w:r w:rsidRPr="00B47B45">
              <w:rPr>
                <w:b/>
                <w:bCs/>
              </w:rPr>
              <w:t xml:space="preserve">Bad </w:t>
            </w:r>
            <w:proofErr w:type="spellStart"/>
            <w:r w:rsidRPr="00B47B45">
              <w:rPr>
                <w:b/>
                <w:bCs/>
              </w:rPr>
              <w:t>press</w:t>
            </w:r>
            <w:proofErr w:type="spellEnd"/>
            <w:r w:rsidRPr="00B47B45">
              <w:rPr>
                <w:b/>
                <w:bCs/>
              </w:rPr>
              <w:t xml:space="preserve"> (10%)</w:t>
            </w:r>
          </w:p>
        </w:tc>
        <w:tc>
          <w:tcPr>
            <w:tcW w:w="0" w:type="auto"/>
            <w:vAlign w:val="center"/>
            <w:hideMark/>
          </w:tcPr>
          <w:p w14:paraId="1D99306A" w14:textId="77777777" w:rsidR="00B47B45" w:rsidRPr="00B47B45" w:rsidRDefault="00B47B45" w:rsidP="00B47B45">
            <w:pPr>
              <w:rPr>
                <w:b/>
                <w:bCs/>
              </w:rPr>
            </w:pPr>
            <w:r w:rsidRPr="00B47B45">
              <w:rPr>
                <w:b/>
                <w:bCs/>
              </w:rPr>
              <w:t>Totaal</w:t>
            </w:r>
          </w:p>
        </w:tc>
      </w:tr>
      <w:tr w:rsidR="00B47B45" w:rsidRPr="00B47B45" w14:paraId="457AF686" w14:textId="77777777" w:rsidTr="00B47B45">
        <w:trPr>
          <w:tblCellSpacing w:w="15" w:type="dxa"/>
        </w:trPr>
        <w:tc>
          <w:tcPr>
            <w:tcW w:w="0" w:type="auto"/>
            <w:vAlign w:val="center"/>
            <w:hideMark/>
          </w:tcPr>
          <w:p w14:paraId="5D6B6C8A" w14:textId="77777777" w:rsidR="00B47B45" w:rsidRPr="00B47B45" w:rsidRDefault="00B47B45" w:rsidP="00B47B45">
            <w:proofErr w:type="spellStart"/>
            <w:r w:rsidRPr="00B47B45">
              <w:rPr>
                <w:b/>
                <w:bCs/>
              </w:rPr>
              <w:t>Amundi</w:t>
            </w:r>
            <w:proofErr w:type="spellEnd"/>
          </w:p>
        </w:tc>
        <w:tc>
          <w:tcPr>
            <w:tcW w:w="0" w:type="auto"/>
            <w:vAlign w:val="center"/>
            <w:hideMark/>
          </w:tcPr>
          <w:p w14:paraId="7D2FC6F7" w14:textId="77777777" w:rsidR="00B47B45" w:rsidRPr="00B47B45" w:rsidRDefault="00B47B45" w:rsidP="00B47B45">
            <w:r w:rsidRPr="00B47B45">
              <w:t>4,80</w:t>
            </w:r>
          </w:p>
        </w:tc>
        <w:tc>
          <w:tcPr>
            <w:tcW w:w="0" w:type="auto"/>
            <w:vAlign w:val="center"/>
            <w:hideMark/>
          </w:tcPr>
          <w:p w14:paraId="2CF0F3F5" w14:textId="77777777" w:rsidR="00B47B45" w:rsidRPr="00B47B45" w:rsidRDefault="00B47B45" w:rsidP="00B47B45">
            <w:r w:rsidRPr="00B47B45">
              <w:t>2,10</w:t>
            </w:r>
          </w:p>
        </w:tc>
        <w:tc>
          <w:tcPr>
            <w:tcW w:w="0" w:type="auto"/>
            <w:vAlign w:val="center"/>
            <w:hideMark/>
          </w:tcPr>
          <w:p w14:paraId="32CBCC28" w14:textId="77777777" w:rsidR="00B47B45" w:rsidRPr="00B47B45" w:rsidRDefault="00B47B45" w:rsidP="00B47B45">
            <w:r w:rsidRPr="00B47B45">
              <w:t>0,40</w:t>
            </w:r>
          </w:p>
        </w:tc>
        <w:tc>
          <w:tcPr>
            <w:tcW w:w="0" w:type="auto"/>
            <w:vAlign w:val="center"/>
            <w:hideMark/>
          </w:tcPr>
          <w:p w14:paraId="4F63DF51" w14:textId="77777777" w:rsidR="00B47B45" w:rsidRPr="00B47B45" w:rsidRDefault="00B47B45" w:rsidP="00B47B45">
            <w:r w:rsidRPr="00B47B45">
              <w:rPr>
                <w:b/>
                <w:bCs/>
              </w:rPr>
              <w:t>7,30</w:t>
            </w:r>
          </w:p>
        </w:tc>
      </w:tr>
      <w:tr w:rsidR="00B47B45" w:rsidRPr="00B47B45" w14:paraId="37D7BACF" w14:textId="77777777" w:rsidTr="00B47B45">
        <w:trPr>
          <w:tblCellSpacing w:w="15" w:type="dxa"/>
        </w:trPr>
        <w:tc>
          <w:tcPr>
            <w:tcW w:w="0" w:type="auto"/>
            <w:vAlign w:val="center"/>
            <w:hideMark/>
          </w:tcPr>
          <w:p w14:paraId="19505331" w14:textId="77777777" w:rsidR="00B47B45" w:rsidRPr="00B47B45" w:rsidRDefault="00B47B45" w:rsidP="00B47B45">
            <w:r w:rsidRPr="00B47B45">
              <w:rPr>
                <w:b/>
                <w:bCs/>
              </w:rPr>
              <w:t xml:space="preserve">ASN Impact </w:t>
            </w:r>
            <w:proofErr w:type="spellStart"/>
            <w:r w:rsidRPr="00B47B45">
              <w:rPr>
                <w:b/>
                <w:bCs/>
              </w:rPr>
              <w:t>Investors</w:t>
            </w:r>
            <w:proofErr w:type="spellEnd"/>
          </w:p>
        </w:tc>
        <w:tc>
          <w:tcPr>
            <w:tcW w:w="0" w:type="auto"/>
            <w:vAlign w:val="center"/>
            <w:hideMark/>
          </w:tcPr>
          <w:p w14:paraId="3994307B" w14:textId="77777777" w:rsidR="00B47B45" w:rsidRPr="00B47B45" w:rsidRDefault="00B47B45" w:rsidP="00B47B45">
            <w:r w:rsidRPr="00B47B45">
              <w:t>5,40</w:t>
            </w:r>
          </w:p>
        </w:tc>
        <w:tc>
          <w:tcPr>
            <w:tcW w:w="0" w:type="auto"/>
            <w:vAlign w:val="center"/>
            <w:hideMark/>
          </w:tcPr>
          <w:p w14:paraId="0514A293" w14:textId="77777777" w:rsidR="00B47B45" w:rsidRPr="00B47B45" w:rsidRDefault="00B47B45" w:rsidP="00B47B45">
            <w:r w:rsidRPr="00B47B45">
              <w:t>2,40</w:t>
            </w:r>
          </w:p>
        </w:tc>
        <w:tc>
          <w:tcPr>
            <w:tcW w:w="0" w:type="auto"/>
            <w:vAlign w:val="center"/>
            <w:hideMark/>
          </w:tcPr>
          <w:p w14:paraId="03AD843F" w14:textId="77777777" w:rsidR="00B47B45" w:rsidRPr="00B47B45" w:rsidRDefault="00B47B45" w:rsidP="00B47B45">
            <w:r w:rsidRPr="00B47B45">
              <w:t>0,90</w:t>
            </w:r>
          </w:p>
        </w:tc>
        <w:tc>
          <w:tcPr>
            <w:tcW w:w="0" w:type="auto"/>
            <w:vAlign w:val="center"/>
            <w:hideMark/>
          </w:tcPr>
          <w:p w14:paraId="32B72A1F" w14:textId="77777777" w:rsidR="00B47B45" w:rsidRPr="00B47B45" w:rsidRDefault="00B47B45" w:rsidP="00B47B45">
            <w:r w:rsidRPr="00B47B45">
              <w:rPr>
                <w:b/>
                <w:bCs/>
              </w:rPr>
              <w:t>8,70</w:t>
            </w:r>
          </w:p>
        </w:tc>
      </w:tr>
      <w:tr w:rsidR="00B47B45" w:rsidRPr="00B47B45" w14:paraId="147CF6F7" w14:textId="77777777" w:rsidTr="00B47B45">
        <w:trPr>
          <w:tblCellSpacing w:w="15" w:type="dxa"/>
        </w:trPr>
        <w:tc>
          <w:tcPr>
            <w:tcW w:w="0" w:type="auto"/>
            <w:vAlign w:val="center"/>
            <w:hideMark/>
          </w:tcPr>
          <w:p w14:paraId="6A265EFA" w14:textId="77777777" w:rsidR="00B47B45" w:rsidRPr="00B47B45" w:rsidRDefault="00B47B45" w:rsidP="00B47B45">
            <w:r w:rsidRPr="00B47B45">
              <w:rPr>
                <w:b/>
                <w:bCs/>
              </w:rPr>
              <w:t>Triodos IM</w:t>
            </w:r>
          </w:p>
        </w:tc>
        <w:tc>
          <w:tcPr>
            <w:tcW w:w="0" w:type="auto"/>
            <w:vAlign w:val="center"/>
            <w:hideMark/>
          </w:tcPr>
          <w:p w14:paraId="5D169D79" w14:textId="77777777" w:rsidR="00B47B45" w:rsidRPr="00B47B45" w:rsidRDefault="00B47B45" w:rsidP="00B47B45">
            <w:r w:rsidRPr="00B47B45">
              <w:t>6,00</w:t>
            </w:r>
          </w:p>
        </w:tc>
        <w:tc>
          <w:tcPr>
            <w:tcW w:w="0" w:type="auto"/>
            <w:vAlign w:val="center"/>
            <w:hideMark/>
          </w:tcPr>
          <w:p w14:paraId="47A40013" w14:textId="77777777" w:rsidR="00B47B45" w:rsidRPr="00B47B45" w:rsidRDefault="00B47B45" w:rsidP="00B47B45">
            <w:r w:rsidRPr="00B47B45">
              <w:t>2,40</w:t>
            </w:r>
          </w:p>
        </w:tc>
        <w:tc>
          <w:tcPr>
            <w:tcW w:w="0" w:type="auto"/>
            <w:vAlign w:val="center"/>
            <w:hideMark/>
          </w:tcPr>
          <w:p w14:paraId="79A3BFED" w14:textId="77777777" w:rsidR="00B47B45" w:rsidRPr="00B47B45" w:rsidRDefault="00B47B45" w:rsidP="00B47B45">
            <w:r w:rsidRPr="00B47B45">
              <w:t>0,80</w:t>
            </w:r>
          </w:p>
        </w:tc>
        <w:tc>
          <w:tcPr>
            <w:tcW w:w="0" w:type="auto"/>
            <w:vAlign w:val="center"/>
            <w:hideMark/>
          </w:tcPr>
          <w:p w14:paraId="1A06DDF0" w14:textId="77777777" w:rsidR="00B47B45" w:rsidRPr="00B47B45" w:rsidRDefault="00B47B45" w:rsidP="00B47B45">
            <w:r w:rsidRPr="00B47B45">
              <w:rPr>
                <w:b/>
                <w:bCs/>
              </w:rPr>
              <w:t>9,20</w:t>
            </w:r>
          </w:p>
        </w:tc>
      </w:tr>
      <w:tr w:rsidR="00B47B45" w:rsidRPr="00B47B45" w14:paraId="68E3FACA" w14:textId="77777777" w:rsidTr="00B47B45">
        <w:trPr>
          <w:tblCellSpacing w:w="15" w:type="dxa"/>
        </w:trPr>
        <w:tc>
          <w:tcPr>
            <w:tcW w:w="0" w:type="auto"/>
            <w:vAlign w:val="center"/>
            <w:hideMark/>
          </w:tcPr>
          <w:p w14:paraId="191B0CBE" w14:textId="77777777" w:rsidR="00B47B45" w:rsidRPr="00B47B45" w:rsidRDefault="00B47B45" w:rsidP="00B47B45">
            <w:r w:rsidRPr="00B47B45">
              <w:rPr>
                <w:b/>
                <w:bCs/>
              </w:rPr>
              <w:t>Robeco</w:t>
            </w:r>
          </w:p>
        </w:tc>
        <w:tc>
          <w:tcPr>
            <w:tcW w:w="0" w:type="auto"/>
            <w:vAlign w:val="center"/>
            <w:hideMark/>
          </w:tcPr>
          <w:p w14:paraId="3DC4928A" w14:textId="77777777" w:rsidR="00B47B45" w:rsidRPr="00B47B45" w:rsidRDefault="00B47B45" w:rsidP="00B47B45">
            <w:r w:rsidRPr="00B47B45">
              <w:t>4,80</w:t>
            </w:r>
          </w:p>
        </w:tc>
        <w:tc>
          <w:tcPr>
            <w:tcW w:w="0" w:type="auto"/>
            <w:vAlign w:val="center"/>
            <w:hideMark/>
          </w:tcPr>
          <w:p w14:paraId="393696D8" w14:textId="77777777" w:rsidR="00B47B45" w:rsidRPr="00B47B45" w:rsidRDefault="00B47B45" w:rsidP="00B47B45">
            <w:r w:rsidRPr="00B47B45">
              <w:t>2,40</w:t>
            </w:r>
          </w:p>
        </w:tc>
        <w:tc>
          <w:tcPr>
            <w:tcW w:w="0" w:type="auto"/>
            <w:vAlign w:val="center"/>
            <w:hideMark/>
          </w:tcPr>
          <w:p w14:paraId="7E45A6B8" w14:textId="77777777" w:rsidR="00B47B45" w:rsidRPr="00B47B45" w:rsidRDefault="00B47B45" w:rsidP="00B47B45">
            <w:r w:rsidRPr="00B47B45">
              <w:t>0,60</w:t>
            </w:r>
          </w:p>
        </w:tc>
        <w:tc>
          <w:tcPr>
            <w:tcW w:w="0" w:type="auto"/>
            <w:vAlign w:val="center"/>
            <w:hideMark/>
          </w:tcPr>
          <w:p w14:paraId="5119E145" w14:textId="77777777" w:rsidR="00B47B45" w:rsidRPr="00B47B45" w:rsidRDefault="00B47B45" w:rsidP="00B47B45">
            <w:r w:rsidRPr="00B47B45">
              <w:rPr>
                <w:b/>
                <w:bCs/>
              </w:rPr>
              <w:t>7,80</w:t>
            </w:r>
          </w:p>
        </w:tc>
      </w:tr>
      <w:tr w:rsidR="00DA2C80" w14:paraId="700699FF" w14:textId="77777777" w:rsidTr="00DA2C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E09719C" w14:textId="61D88DE9" w:rsidR="00DA2C80" w:rsidRPr="00DA2C80" w:rsidRDefault="00DA2C80">
            <w:pPr>
              <w:rPr>
                <w:b/>
                <w:bCs/>
              </w:rPr>
            </w:pPr>
            <w:r>
              <w:rPr>
                <w:b/>
                <w:bCs/>
              </w:rPr>
              <w:t>A</w:t>
            </w:r>
            <w:r w:rsidRPr="00DA2C80">
              <w:rPr>
                <w:b/>
                <w:bCs/>
              </w:rPr>
              <w:t>llianz</w:t>
            </w:r>
          </w:p>
        </w:tc>
        <w:tc>
          <w:tcPr>
            <w:tcW w:w="0" w:type="auto"/>
            <w:tcBorders>
              <w:top w:val="single" w:sz="4" w:space="0" w:color="auto"/>
              <w:left w:val="single" w:sz="4" w:space="0" w:color="auto"/>
              <w:bottom w:val="single" w:sz="4" w:space="0" w:color="auto"/>
              <w:right w:val="single" w:sz="4" w:space="0" w:color="auto"/>
            </w:tcBorders>
            <w:vAlign w:val="center"/>
            <w:hideMark/>
          </w:tcPr>
          <w:p w14:paraId="3B583E72" w14:textId="77777777" w:rsidR="00DA2C80" w:rsidRPr="00DA2C80" w:rsidRDefault="00DA2C80">
            <w:r w:rsidRPr="00DA2C80">
              <w:t>7 × 0.60 = 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3606DE9" w14:textId="77777777" w:rsidR="00DA2C80" w:rsidRPr="00DA2C80" w:rsidRDefault="00DA2C80">
            <w:r w:rsidRPr="00DA2C80">
              <w:t>6 × 0.30 = 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55CF5" w14:textId="77777777" w:rsidR="00DA2C80" w:rsidRPr="00DA2C80" w:rsidRDefault="00DA2C80">
            <w:r w:rsidRPr="00DA2C80">
              <w:t>3 × 0.10 = 0.30</w:t>
            </w:r>
          </w:p>
        </w:tc>
        <w:tc>
          <w:tcPr>
            <w:tcW w:w="0" w:type="auto"/>
            <w:tcBorders>
              <w:top w:val="single" w:sz="4" w:space="0" w:color="auto"/>
              <w:left w:val="single" w:sz="4" w:space="0" w:color="auto"/>
              <w:bottom w:val="single" w:sz="4" w:space="0" w:color="auto"/>
              <w:right w:val="single" w:sz="4" w:space="0" w:color="auto"/>
            </w:tcBorders>
            <w:vAlign w:val="center"/>
            <w:hideMark/>
          </w:tcPr>
          <w:p w14:paraId="7CAC109F" w14:textId="77777777" w:rsidR="00DA2C80" w:rsidRPr="00DA2C80" w:rsidRDefault="00DA2C80">
            <w:pPr>
              <w:rPr>
                <w:b/>
                <w:bCs/>
              </w:rPr>
            </w:pPr>
            <w:r w:rsidRPr="00DA2C80">
              <w:rPr>
                <w:b/>
                <w:bCs/>
              </w:rPr>
              <w:t>6.30 / 10</w:t>
            </w:r>
          </w:p>
        </w:tc>
      </w:tr>
      <w:tr w:rsidR="00DA2C80" w14:paraId="2AAA4402" w14:textId="77777777" w:rsidTr="00DA2C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84EBDC1" w14:textId="77777777" w:rsidR="00DA2C80" w:rsidRPr="00DA2C80" w:rsidRDefault="00DA2C80">
            <w:pPr>
              <w:rPr>
                <w:b/>
                <w:bCs/>
              </w:rPr>
            </w:pPr>
            <w:r w:rsidRPr="00DA2C80">
              <w:rPr>
                <w:b/>
                <w:bCs/>
              </w:rPr>
              <w:t>BNP Paribas AM</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2612B" w14:textId="77777777" w:rsidR="00DA2C80" w:rsidRPr="00DA2C80" w:rsidRDefault="00DA2C80">
            <w:r w:rsidRPr="00DA2C80">
              <w:t>9 × 0.60 = 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4E6701D" w14:textId="77777777" w:rsidR="00DA2C80" w:rsidRPr="00DA2C80" w:rsidRDefault="00DA2C80">
            <w:r w:rsidRPr="00DA2C80">
              <w:t>8 × 0.30 = 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7B291" w14:textId="77777777" w:rsidR="00DA2C80" w:rsidRPr="00DA2C80" w:rsidRDefault="00DA2C80">
            <w:r w:rsidRPr="00DA2C80">
              <w:t>8 × 0.10 = 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3A610F" w14:textId="77777777" w:rsidR="00DA2C80" w:rsidRPr="00DA2C80" w:rsidRDefault="00DA2C80">
            <w:pPr>
              <w:rPr>
                <w:b/>
                <w:bCs/>
              </w:rPr>
            </w:pPr>
            <w:r w:rsidRPr="00DA2C80">
              <w:rPr>
                <w:b/>
                <w:bCs/>
              </w:rPr>
              <w:t>8.60 / 10</w:t>
            </w:r>
          </w:p>
        </w:tc>
      </w:tr>
      <w:tr w:rsidR="00DA2C80" w14:paraId="393C6FC9" w14:textId="77777777" w:rsidTr="00DA2C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0FFC61C" w14:textId="77777777" w:rsidR="00DA2C80" w:rsidRPr="00DA2C80" w:rsidRDefault="00DA2C80">
            <w:pPr>
              <w:rPr>
                <w:b/>
                <w:bCs/>
              </w:rPr>
            </w:pPr>
            <w:proofErr w:type="spellStart"/>
            <w:r w:rsidRPr="00DA2C80">
              <w:rPr>
                <w:b/>
                <w:bCs/>
              </w:rPr>
              <w:t>Vanguard</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4F6001A7" w14:textId="77777777" w:rsidR="00DA2C80" w:rsidRPr="00DA2C80" w:rsidRDefault="00DA2C80">
            <w:r w:rsidRPr="00DA2C80">
              <w:t>4 × 0.60 = 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C4992" w14:textId="77777777" w:rsidR="00DA2C80" w:rsidRPr="00DA2C80" w:rsidRDefault="00DA2C80">
            <w:r w:rsidRPr="00DA2C80">
              <w:t>7 × 0.30 = 2.10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F4115" w14:textId="77777777" w:rsidR="00DA2C80" w:rsidRPr="00DA2C80" w:rsidRDefault="00DA2C80">
            <w:r w:rsidRPr="00DA2C80">
              <w:t>5 × 0.10 = 0.50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06A57" w14:textId="77777777" w:rsidR="00DA2C80" w:rsidRPr="00DA2C80" w:rsidRDefault="00DA2C80">
            <w:pPr>
              <w:rPr>
                <w:b/>
                <w:bCs/>
              </w:rPr>
            </w:pPr>
            <w:r w:rsidRPr="00DA2C80">
              <w:rPr>
                <w:b/>
                <w:bCs/>
              </w:rPr>
              <w:t>5.00 / 10</w:t>
            </w:r>
          </w:p>
        </w:tc>
      </w:tr>
      <w:tr w:rsidR="00DA2C80" w14:paraId="3A8F25B2" w14:textId="77777777" w:rsidTr="00DA2C80">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E99463D" w14:textId="77777777" w:rsidR="00DA2C80" w:rsidRPr="00DA2C80" w:rsidRDefault="00DA2C80">
            <w:pPr>
              <w:rPr>
                <w:b/>
                <w:bCs/>
              </w:rPr>
            </w:pPr>
            <w:proofErr w:type="spellStart"/>
            <w:r w:rsidRPr="00DA2C80">
              <w:rPr>
                <w:b/>
                <w:bCs/>
              </w:rPr>
              <w:t>BlackRock</w:t>
            </w:r>
            <w:proofErr w:type="spellEnd"/>
          </w:p>
        </w:tc>
        <w:tc>
          <w:tcPr>
            <w:tcW w:w="0" w:type="auto"/>
            <w:tcBorders>
              <w:top w:val="single" w:sz="4" w:space="0" w:color="auto"/>
              <w:left w:val="single" w:sz="4" w:space="0" w:color="auto"/>
              <w:bottom w:val="single" w:sz="4" w:space="0" w:color="auto"/>
              <w:right w:val="single" w:sz="4" w:space="0" w:color="auto"/>
            </w:tcBorders>
            <w:vAlign w:val="center"/>
            <w:hideMark/>
          </w:tcPr>
          <w:p w14:paraId="3928724B" w14:textId="77777777" w:rsidR="00DA2C80" w:rsidRPr="00DA2C80" w:rsidRDefault="00DA2C80">
            <w:r w:rsidRPr="00DA2C80">
              <w:t>8 × 0.60 = 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582CF" w14:textId="77777777" w:rsidR="00DA2C80" w:rsidRPr="00DA2C80" w:rsidRDefault="00DA2C80">
            <w:r w:rsidRPr="00DA2C80">
              <w:t>8 × 0.30 = 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817B0" w14:textId="77777777" w:rsidR="00DA2C80" w:rsidRPr="00DA2C80" w:rsidRDefault="00DA2C80">
            <w:r w:rsidRPr="00DA2C80">
              <w:t>6 × 0.10 = 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161A8A2" w14:textId="77777777" w:rsidR="00DA2C80" w:rsidRPr="00DA2C80" w:rsidRDefault="00DA2C80">
            <w:pPr>
              <w:rPr>
                <w:b/>
                <w:bCs/>
              </w:rPr>
            </w:pPr>
            <w:r w:rsidRPr="00DA2C80">
              <w:rPr>
                <w:b/>
                <w:bCs/>
              </w:rPr>
              <w:t>7.80 / 10</w:t>
            </w:r>
          </w:p>
        </w:tc>
      </w:tr>
    </w:tbl>
    <w:p w14:paraId="0D1918B6" w14:textId="09CB6132" w:rsidR="00B47B45" w:rsidRDefault="00B47B45" w:rsidP="00B47B45"/>
    <w:p w14:paraId="24ADCFD0" w14:textId="77777777" w:rsidR="005038C8" w:rsidRDefault="005038C8" w:rsidP="00B47B45"/>
    <w:p w14:paraId="0E62844A" w14:textId="77777777" w:rsidR="005038C8" w:rsidRDefault="005038C8" w:rsidP="00B47B45"/>
    <w:p w14:paraId="7CC529E2" w14:textId="77777777" w:rsidR="005038C8" w:rsidRDefault="005038C8" w:rsidP="00B47B45"/>
    <w:p w14:paraId="0EDA456E" w14:textId="77777777" w:rsidR="005038C8" w:rsidRDefault="005038C8" w:rsidP="00B47B45"/>
    <w:p w14:paraId="121A04D6" w14:textId="77777777" w:rsidR="005038C8" w:rsidRDefault="005038C8" w:rsidP="00B47B45"/>
    <w:p w14:paraId="0AEE9D5E" w14:textId="77777777" w:rsidR="005038C8" w:rsidRDefault="005038C8" w:rsidP="00B47B45"/>
    <w:p w14:paraId="505CB145" w14:textId="77777777" w:rsidR="005038C8" w:rsidRDefault="005038C8" w:rsidP="00B47B45"/>
    <w:p w14:paraId="7B832FB0" w14:textId="77777777" w:rsidR="005038C8" w:rsidRDefault="005038C8" w:rsidP="00B47B45"/>
    <w:p w14:paraId="371EE922" w14:textId="77777777" w:rsidR="005038C8" w:rsidRDefault="005038C8" w:rsidP="00B47B45"/>
    <w:p w14:paraId="0AB80583" w14:textId="77777777" w:rsidR="005038C8" w:rsidRDefault="005038C8" w:rsidP="00B47B45"/>
    <w:p w14:paraId="64A4519C" w14:textId="77777777" w:rsidR="00082859" w:rsidRPr="00B47B45" w:rsidRDefault="00082859" w:rsidP="00B47B45"/>
    <w:p w14:paraId="16D5C53A" w14:textId="1C18EA49" w:rsidR="00B47B45" w:rsidRPr="00082859" w:rsidRDefault="00082859" w:rsidP="00082859">
      <w:pPr>
        <w:pStyle w:val="Heading2"/>
        <w:rPr>
          <w:sz w:val="32"/>
          <w:szCs w:val="32"/>
        </w:rPr>
      </w:pPr>
      <w:bookmarkStart w:id="13" w:name="_Toc218449552"/>
      <w:r w:rsidRPr="00082859">
        <w:rPr>
          <w:sz w:val="32"/>
          <w:szCs w:val="32"/>
        </w:rPr>
        <w:t xml:space="preserve">1.4 </w:t>
      </w:r>
      <w:r w:rsidR="00B47B45" w:rsidRPr="00082859">
        <w:rPr>
          <w:sz w:val="32"/>
          <w:szCs w:val="32"/>
        </w:rPr>
        <w:t>Conclusie</w:t>
      </w:r>
      <w:bookmarkEnd w:id="13"/>
    </w:p>
    <w:p w14:paraId="16B08032" w14:textId="77777777" w:rsidR="005038C8" w:rsidRPr="005038C8" w:rsidRDefault="005038C8" w:rsidP="005038C8">
      <w:r w:rsidRPr="005038C8">
        <w:t xml:space="preserve">Op basis van de gehanteerde duurzaamheids-, </w:t>
      </w:r>
      <w:proofErr w:type="spellStart"/>
      <w:r w:rsidRPr="005038C8">
        <w:t>governance</w:t>
      </w:r>
      <w:proofErr w:type="spellEnd"/>
      <w:r w:rsidRPr="005038C8">
        <w:t xml:space="preserve">- en reputatiecriteria ontstaat een duidelijk onderscheid tussen de aanbieders. BNP Paribas Asset Management en Triodos Investment Management komen beide als koplopers naar voren binnen hun respectieve vergelijkingen. BNP Paribas Asset Management onderscheidt zich door een zeer uitgebreid en transparant duurzaamheidsbeleid, sterke ESG-integratie en een betrouwbare reputatie, wat resulteert in de hoogste totaalscore binnen de eerste analyse. Triodos Investment Management behaalt in de tweede analyse zelfs de hoogste score (9,2/10), dankzij een uitzonderlijk sterk duurzaamheidsbeleid met meetbare impact en consistente </w:t>
      </w:r>
      <w:proofErr w:type="spellStart"/>
      <w:r w:rsidRPr="005038C8">
        <w:t>governance</w:t>
      </w:r>
      <w:proofErr w:type="spellEnd"/>
      <w:r w:rsidRPr="005038C8">
        <w:t>.</w:t>
      </w:r>
    </w:p>
    <w:p w14:paraId="0C32CAD2" w14:textId="77777777" w:rsidR="005038C8" w:rsidRPr="005038C8" w:rsidRDefault="005038C8" w:rsidP="005038C8">
      <w:r w:rsidRPr="005038C8">
        <w:t xml:space="preserve">In de subtop laten ASN Impact </w:t>
      </w:r>
      <w:proofErr w:type="spellStart"/>
      <w:r w:rsidRPr="005038C8">
        <w:t>Investors</w:t>
      </w:r>
      <w:proofErr w:type="spellEnd"/>
      <w:r w:rsidRPr="005038C8">
        <w:t xml:space="preserve"> en </w:t>
      </w:r>
      <w:proofErr w:type="spellStart"/>
      <w:r w:rsidRPr="005038C8">
        <w:t>BlackRock</w:t>
      </w:r>
      <w:proofErr w:type="spellEnd"/>
      <w:r w:rsidRPr="005038C8">
        <w:t xml:space="preserve"> solide prestaties zien. ASN Impact </w:t>
      </w:r>
      <w:proofErr w:type="spellStart"/>
      <w:r w:rsidRPr="005038C8">
        <w:t>Investors</w:t>
      </w:r>
      <w:proofErr w:type="spellEnd"/>
      <w:r w:rsidRPr="005038C8">
        <w:t xml:space="preserve"> scoort hoog door strikte uitsluitingscriteria, transparante impactmeting en minimale negatieve media-aandacht, terwijl </w:t>
      </w:r>
      <w:proofErr w:type="spellStart"/>
      <w:r w:rsidRPr="005038C8">
        <w:t>BlackRock</w:t>
      </w:r>
      <w:proofErr w:type="spellEnd"/>
      <w:r w:rsidRPr="005038C8">
        <w:t xml:space="preserve"> beschikt over een breed duurzaamheidskader en veel Artikel 8- en 9-fondsen, maar reputatierisico loopt door politieke discussies rond hun duurzaamheidspositie.</w:t>
      </w:r>
    </w:p>
    <w:p w14:paraId="139B86CD" w14:textId="77777777" w:rsidR="005038C8" w:rsidRPr="005038C8" w:rsidRDefault="005038C8" w:rsidP="005038C8">
      <w:r w:rsidRPr="005038C8">
        <w:t xml:space="preserve">Robeco, Allianz en </w:t>
      </w:r>
      <w:proofErr w:type="spellStart"/>
      <w:r w:rsidRPr="005038C8">
        <w:t>Amundi</w:t>
      </w:r>
      <w:proofErr w:type="spellEnd"/>
      <w:r w:rsidRPr="005038C8">
        <w:t xml:space="preserve"> bevinden zich in de middenmoot. Hoewel zij allen beschikken over een aanwezig en redelijk uitgewerkt ESG-beleid, drukken mediakritiek, greenwashing-discussies en </w:t>
      </w:r>
      <w:proofErr w:type="spellStart"/>
      <w:r w:rsidRPr="005038C8">
        <w:t>governancekwesties</w:t>
      </w:r>
      <w:proofErr w:type="spellEnd"/>
      <w:r w:rsidRPr="005038C8">
        <w:t xml:space="preserve"> hun totaalscore. </w:t>
      </w:r>
      <w:proofErr w:type="spellStart"/>
      <w:r w:rsidRPr="005038C8">
        <w:t>Vanguard</w:t>
      </w:r>
      <w:proofErr w:type="spellEnd"/>
      <w:r w:rsidRPr="005038C8">
        <w:t xml:space="preserve"> sluit de rangorde af; de focus ligt voornamelijk op lage kosten, met beperkte ESG-integratie en een overwicht aan Artikel 6-fondsen, waardoor het aanbod minder aansluit bij duurzaamheidsgerichte klanten.</w:t>
      </w:r>
    </w:p>
    <w:p w14:paraId="508F15E7" w14:textId="77777777" w:rsidR="005038C8" w:rsidRPr="005038C8" w:rsidRDefault="005038C8" w:rsidP="005038C8">
      <w:r w:rsidRPr="005038C8">
        <w:t xml:space="preserve">Samenvattend bieden BNP Paribas Asset Management en Triodos Investment Management de beste balans tussen duurzaamheid, </w:t>
      </w:r>
      <w:proofErr w:type="spellStart"/>
      <w:r w:rsidRPr="005038C8">
        <w:t>governance</w:t>
      </w:r>
      <w:proofErr w:type="spellEnd"/>
      <w:r w:rsidRPr="005038C8">
        <w:t xml:space="preserve"> en reputatie, en sluiten zij het sterkst aan bij beleggers voor wie duurzaamheid een doorslaggevende rol speelt.</w:t>
      </w:r>
    </w:p>
    <w:p w14:paraId="42B8F5EF" w14:textId="77777777" w:rsidR="005038C8" w:rsidRDefault="005038C8" w:rsidP="00B47B45"/>
    <w:p w14:paraId="4B1E6F83" w14:textId="77777777" w:rsidR="00661912" w:rsidRDefault="00661912" w:rsidP="00B47B45"/>
    <w:p w14:paraId="0E378A4A" w14:textId="77777777" w:rsidR="00661912" w:rsidRDefault="00661912" w:rsidP="00B47B45"/>
    <w:p w14:paraId="1AD69B7E" w14:textId="77777777" w:rsidR="00661912" w:rsidRDefault="00661912" w:rsidP="00B47B45"/>
    <w:p w14:paraId="514B1281" w14:textId="77777777" w:rsidR="00661912" w:rsidRDefault="00661912" w:rsidP="00B47B45"/>
    <w:p w14:paraId="03675CA0" w14:textId="77777777" w:rsidR="004913DF" w:rsidRPr="00B47B45" w:rsidRDefault="004913DF" w:rsidP="00B47B45"/>
    <w:p w14:paraId="001037B9" w14:textId="449C06BF" w:rsidR="008F021C" w:rsidRPr="0009559B" w:rsidRDefault="0009559B" w:rsidP="0009559B">
      <w:pPr>
        <w:pStyle w:val="Heading1"/>
      </w:pPr>
      <w:bookmarkStart w:id="14" w:name="_Toc218449553"/>
      <w:r w:rsidRPr="0009559B">
        <w:t>2.</w:t>
      </w:r>
      <w:r w:rsidR="00082859" w:rsidRPr="0009559B">
        <w:t xml:space="preserve"> </w:t>
      </w:r>
      <w:r w:rsidR="008F021C" w:rsidRPr="0009559B">
        <w:t>Algemene</w:t>
      </w:r>
      <w:r w:rsidR="00E80822" w:rsidRPr="0009559B">
        <w:t xml:space="preserve"> toelichting</w:t>
      </w:r>
      <w:r w:rsidR="008F021C" w:rsidRPr="0009559B">
        <w:t xml:space="preserve"> voor de selectie van Triodos Investment Management en </w:t>
      </w:r>
      <w:proofErr w:type="spellStart"/>
      <w:r w:rsidR="008F021C" w:rsidRPr="0009559B">
        <w:t>BlackRock</w:t>
      </w:r>
      <w:bookmarkEnd w:id="14"/>
      <w:proofErr w:type="spellEnd"/>
    </w:p>
    <w:p w14:paraId="093671A7" w14:textId="77777777" w:rsidR="008F021C" w:rsidRPr="008F021C" w:rsidRDefault="008F021C" w:rsidP="008F021C">
      <w:r w:rsidRPr="008F021C">
        <w:t xml:space="preserve">De selectie van vermogensbeheerders voor het adviesbureau is gebaseerd op een systematische vergelijking op drie voorgeschreven criteria: duurzaamheidsbeleid, </w:t>
      </w:r>
      <w:proofErr w:type="spellStart"/>
      <w:r w:rsidRPr="008F021C">
        <w:t>governance</w:t>
      </w:r>
      <w:proofErr w:type="spellEnd"/>
      <w:r w:rsidRPr="008F021C">
        <w:t xml:space="preserve"> en bad </w:t>
      </w:r>
      <w:proofErr w:type="spellStart"/>
      <w:r w:rsidRPr="008F021C">
        <w:t>press</w:t>
      </w:r>
      <w:proofErr w:type="spellEnd"/>
      <w:r w:rsidRPr="008F021C">
        <w:t xml:space="preserve">. Deze criteria zijn afgestemd op de missie van het adviesbureau om uitsluitend samen te werken met aanbieders die betrouwbaar, transparant en toekomstgericht opereren binnen de beleggingssector. Uit de uitgevoerde analyses komt naar voren dat Triodos Investment Management en </w:t>
      </w:r>
      <w:proofErr w:type="spellStart"/>
      <w:r w:rsidRPr="008F021C">
        <w:t>BlackRock</w:t>
      </w:r>
      <w:proofErr w:type="spellEnd"/>
      <w:r w:rsidRPr="008F021C">
        <w:t xml:space="preserve"> de meest geschikte partijen vormen voor verdere selectie van duurzame beleggingsfondsen.</w:t>
      </w:r>
    </w:p>
    <w:p w14:paraId="4D3E3964" w14:textId="31EB4F67" w:rsidR="008F021C" w:rsidRPr="0009559B" w:rsidRDefault="008F021C" w:rsidP="008F021C">
      <w:pPr>
        <w:rPr>
          <w:b/>
          <w:bCs/>
        </w:rPr>
      </w:pPr>
      <w:r w:rsidRPr="008F021C">
        <w:rPr>
          <w:b/>
          <w:bCs/>
        </w:rPr>
        <w:t>Motivering voor de keuze van Triodos Investment Management</w:t>
      </w:r>
      <w:r w:rsidR="0009559B">
        <w:rPr>
          <w:b/>
          <w:bCs/>
        </w:rPr>
        <w:br/>
      </w:r>
      <w:r w:rsidRPr="0009559B">
        <w:t xml:space="preserve">Triodos Investment Management onderscheidt zich door een uitzonderlijk sterk duurzaamheidsprofiel. De organisatie hanteert een volledig op impact gericht beleggingskader en beheert voornamelijk fondsen die zijn geclassificeerd als SFDR Artikel 9. Deze classificatie impliceert dat de fondsen expliciet bijdragen aan duurzame doelstellingen en voldoen aan strikte ESG-criteria. Uit rapportages blijkt dat Triodos IM consistent rapporteert over meetbare impact, waaronder vermindering van broeikasgasemissies, waterverbruik en sociale inclusie. Door de duidelijke verankering van duurzaamheid in zowel strategie als </w:t>
      </w:r>
      <w:proofErr w:type="spellStart"/>
      <w:r w:rsidRPr="0009559B">
        <w:t>governance</w:t>
      </w:r>
      <w:proofErr w:type="spellEnd"/>
      <w:r w:rsidRPr="0009559B">
        <w:t xml:space="preserve"> vormt Triodos IM een vermogensbeheerder die in hoge mate aansluit bij de duurzaamheidsambities van het adviesbureau</w:t>
      </w:r>
      <w:r w:rsidRPr="008F021C">
        <w:t>.</w:t>
      </w:r>
    </w:p>
    <w:p w14:paraId="125E1F76" w14:textId="77777777" w:rsidR="00C57DD2" w:rsidRDefault="008F021C" w:rsidP="008F021C">
      <w:r w:rsidRPr="008F021C">
        <w:rPr>
          <w:b/>
          <w:bCs/>
        </w:rPr>
        <w:t xml:space="preserve">Motivering voor de keuze van </w:t>
      </w:r>
      <w:proofErr w:type="spellStart"/>
      <w:r w:rsidRPr="008F021C">
        <w:rPr>
          <w:b/>
          <w:bCs/>
        </w:rPr>
        <w:t>BlackRock</w:t>
      </w:r>
      <w:proofErr w:type="spellEnd"/>
      <w:r w:rsidR="0009559B">
        <w:rPr>
          <w:b/>
          <w:bCs/>
        </w:rPr>
        <w:br/>
      </w:r>
      <w:r w:rsidRPr="008F021C">
        <w:t xml:space="preserve">Ondanks dat ASN Impact </w:t>
      </w:r>
      <w:proofErr w:type="spellStart"/>
      <w:r w:rsidRPr="008F021C">
        <w:t>Investors</w:t>
      </w:r>
      <w:proofErr w:type="spellEnd"/>
      <w:r w:rsidRPr="008F021C">
        <w:t xml:space="preserve"> in de analyse een hogere totaalscore behaalde dan </w:t>
      </w:r>
      <w:proofErr w:type="spellStart"/>
      <w:r w:rsidRPr="008F021C">
        <w:t>BlackRock</w:t>
      </w:r>
      <w:proofErr w:type="spellEnd"/>
      <w:r w:rsidRPr="008F021C">
        <w:t xml:space="preserve">, is </w:t>
      </w:r>
      <w:proofErr w:type="spellStart"/>
      <w:r w:rsidRPr="008F021C">
        <w:t>BlackRock</w:t>
      </w:r>
      <w:proofErr w:type="spellEnd"/>
      <w:r w:rsidRPr="008F021C">
        <w:t xml:space="preserve"> geselecteerd vanwege andere relevante overwegingen. </w:t>
      </w:r>
      <w:proofErr w:type="spellStart"/>
      <w:r w:rsidRPr="008F021C">
        <w:t>BlackRock</w:t>
      </w:r>
      <w:proofErr w:type="spellEnd"/>
      <w:r w:rsidRPr="008F021C">
        <w:t xml:space="preserve"> is wereldwijd de grootste vermogensbeheerder en biedt een zeer breed en gediversifieerd fondsaanbod. Deze schaalgrootte maakt het mogelijk om stabiele, wereldwijd gespreide beleggingsoplossingen te selecteren die geschikt zijn voor klanten met een </w:t>
      </w:r>
      <w:proofErr w:type="spellStart"/>
      <w:r w:rsidRPr="008F021C">
        <w:t>langetermijnbeleggingshorizon</w:t>
      </w:r>
      <w:proofErr w:type="spellEnd"/>
      <w:r w:rsidRPr="008F021C">
        <w:t xml:space="preserve">, zoals pensioenopbouw en fiscaal voordelige vermogensvorming. Daarnaast integreert </w:t>
      </w:r>
      <w:proofErr w:type="spellStart"/>
      <w:r w:rsidRPr="008F021C">
        <w:t>BlackRock</w:t>
      </w:r>
      <w:proofErr w:type="spellEnd"/>
      <w:r w:rsidRPr="008F021C">
        <w:t xml:space="preserve"> ESG-factoren steeds sterker binnen een groot deel van het productaanbod. Hoewel er in de markt kritische berichtgeving is verschenen over grote indexaanbieders, blijft </w:t>
      </w:r>
      <w:proofErr w:type="spellStart"/>
      <w:r w:rsidRPr="008F021C">
        <w:t>BlackRock</w:t>
      </w:r>
      <w:proofErr w:type="spellEnd"/>
      <w:r w:rsidRPr="008F021C">
        <w:t xml:space="preserve"> een essentieel platform voor toegang tot mondiale beleggingsstrategieën met een bewezen track record.</w:t>
      </w:r>
    </w:p>
    <w:p w14:paraId="03813B3D" w14:textId="77777777" w:rsidR="00C57DD2" w:rsidRDefault="00C57DD2" w:rsidP="008F021C"/>
    <w:p w14:paraId="32072433" w14:textId="3FE9B2E8" w:rsidR="008F021C" w:rsidRPr="0009559B" w:rsidRDefault="0009559B" w:rsidP="008F021C">
      <w:pPr>
        <w:rPr>
          <w:b/>
          <w:bCs/>
        </w:rPr>
      </w:pPr>
      <w:r>
        <w:br/>
      </w:r>
    </w:p>
    <w:p w14:paraId="6683E567" w14:textId="323286B1" w:rsidR="008F021C" w:rsidRPr="0009559B" w:rsidRDefault="008F021C" w:rsidP="008F021C">
      <w:pPr>
        <w:rPr>
          <w:b/>
          <w:bCs/>
        </w:rPr>
      </w:pPr>
      <w:r w:rsidRPr="008F021C">
        <w:rPr>
          <w:b/>
          <w:bCs/>
        </w:rPr>
        <w:t>Rationale voor de combinatie van beide vermogensbeheerders</w:t>
      </w:r>
      <w:r w:rsidR="0009559B">
        <w:rPr>
          <w:b/>
          <w:bCs/>
        </w:rPr>
        <w:br/>
      </w:r>
      <w:r w:rsidRPr="008F021C">
        <w:t xml:space="preserve">De combinatie van Triodos Investment Management en </w:t>
      </w:r>
      <w:proofErr w:type="spellStart"/>
      <w:r w:rsidRPr="008F021C">
        <w:t>BlackRock</w:t>
      </w:r>
      <w:proofErr w:type="spellEnd"/>
      <w:r w:rsidRPr="008F021C">
        <w:t xml:space="preserve"> biedt een evenwichtige basis voor het advieskantoor. Triodos IM vertegenwoordigt een maximale focus op impact, strikte uitsluitingen en duurzame thematiek, terwijl </w:t>
      </w:r>
      <w:proofErr w:type="spellStart"/>
      <w:r w:rsidRPr="008F021C">
        <w:t>BlackRock</w:t>
      </w:r>
      <w:proofErr w:type="spellEnd"/>
      <w:r w:rsidRPr="008F021C">
        <w:t xml:space="preserve"> een breed en robuust universum van wereldwijde beleggingsfondsen faciliteert met sterke risicospreiding en historische prestatiegegevens. Deze combinatie biedt daarmee zowel hoogwaardige duurzame impactbeleggingen als stabiele, wereldwijd gespreide fondsen, wat in lijn is met de waarden én het productaanbod dat het adviesbureau</w:t>
      </w:r>
      <w:r w:rsidR="00532D2D">
        <w:t xml:space="preserve"> </w:t>
      </w:r>
      <w:proofErr w:type="spellStart"/>
      <w:r w:rsidR="00532D2D">
        <w:t>VermogenThuis</w:t>
      </w:r>
      <w:proofErr w:type="spellEnd"/>
      <w:r w:rsidRPr="008F021C">
        <w:t xml:space="preserve"> wil realiseren.</w:t>
      </w:r>
    </w:p>
    <w:p w14:paraId="61AA6123" w14:textId="764E3F0A" w:rsidR="162A4C99" w:rsidRDefault="162A4C99" w:rsidP="162A4C99"/>
    <w:p w14:paraId="73B6CD44" w14:textId="77777777" w:rsidR="00C24797" w:rsidRDefault="00C24797" w:rsidP="162A4C99"/>
    <w:p w14:paraId="2562A934" w14:textId="77777777" w:rsidR="00C24797" w:rsidRDefault="00C24797" w:rsidP="162A4C99"/>
    <w:p w14:paraId="44D57AD0" w14:textId="77777777" w:rsidR="00C24797" w:rsidRDefault="00C24797" w:rsidP="162A4C99"/>
    <w:p w14:paraId="2D8FD2B9" w14:textId="77777777" w:rsidR="00C24797" w:rsidRDefault="00C24797" w:rsidP="162A4C99"/>
    <w:p w14:paraId="1F5A9521" w14:textId="77777777" w:rsidR="00C24797" w:rsidRDefault="00C24797" w:rsidP="162A4C99"/>
    <w:p w14:paraId="3C27D23C" w14:textId="77777777" w:rsidR="00C24797" w:rsidRDefault="00C24797" w:rsidP="162A4C99"/>
    <w:p w14:paraId="7F6EBA55" w14:textId="77777777" w:rsidR="00C24797" w:rsidRDefault="00C24797" w:rsidP="162A4C99"/>
    <w:p w14:paraId="56FEFE4A" w14:textId="77777777" w:rsidR="00C24797" w:rsidRDefault="00C24797" w:rsidP="162A4C99"/>
    <w:p w14:paraId="164F59AE" w14:textId="77777777" w:rsidR="00C24797" w:rsidRDefault="00C24797" w:rsidP="162A4C99"/>
    <w:p w14:paraId="385E2F39" w14:textId="77777777" w:rsidR="00C24797" w:rsidRDefault="00C24797" w:rsidP="162A4C99"/>
    <w:p w14:paraId="7B22BEFE" w14:textId="77777777" w:rsidR="00C24797" w:rsidRDefault="00C24797" w:rsidP="162A4C99"/>
    <w:p w14:paraId="27039ECB" w14:textId="77777777" w:rsidR="00C24797" w:rsidRDefault="00C24797" w:rsidP="162A4C99"/>
    <w:p w14:paraId="1431FB34" w14:textId="77777777" w:rsidR="00C24797" w:rsidRDefault="00C24797" w:rsidP="162A4C99"/>
    <w:p w14:paraId="0493EC64" w14:textId="77777777" w:rsidR="00C24797" w:rsidRDefault="00C24797" w:rsidP="162A4C99"/>
    <w:p w14:paraId="71AB8E78" w14:textId="77777777" w:rsidR="00C24797" w:rsidRDefault="00C24797" w:rsidP="162A4C99"/>
    <w:p w14:paraId="68F4C852" w14:textId="77777777" w:rsidR="00C24797" w:rsidRDefault="00C24797" w:rsidP="162A4C99"/>
    <w:p w14:paraId="06C78BDD" w14:textId="77777777" w:rsidR="00C24797" w:rsidRPr="008F021C" w:rsidRDefault="00C24797" w:rsidP="162A4C99"/>
    <w:p w14:paraId="4143BAA0" w14:textId="23670BA2" w:rsidR="0049417B" w:rsidRPr="0009559B" w:rsidRDefault="0009559B" w:rsidP="0009559B">
      <w:pPr>
        <w:pStyle w:val="Heading1"/>
      </w:pPr>
      <w:bookmarkStart w:id="15" w:name="_Toc218449554"/>
      <w:r w:rsidRPr="0009559B">
        <w:t xml:space="preserve">3. </w:t>
      </w:r>
      <w:r w:rsidR="00E80822" w:rsidRPr="0009559B">
        <w:t>Fiscale context en relevantie voor de selectie van beleggingsfondsen</w:t>
      </w:r>
      <w:bookmarkEnd w:id="15"/>
    </w:p>
    <w:p w14:paraId="5AFD86FE" w14:textId="2272F6FC" w:rsidR="00E80822" w:rsidRPr="00E80822" w:rsidRDefault="00C24797" w:rsidP="00E80822">
      <w:r>
        <w:rPr>
          <w:b/>
          <w:bCs/>
        </w:rPr>
        <w:br/>
      </w:r>
      <w:r w:rsidR="0049417B" w:rsidRPr="0049417B">
        <w:rPr>
          <w:b/>
          <w:bCs/>
        </w:rPr>
        <w:t>1. Fiscale strategieën voor particulieren met box-3-vermogen</w:t>
      </w:r>
      <w:r w:rsidR="0049417B">
        <w:br/>
      </w:r>
      <w:r w:rsidR="00E80822" w:rsidRPr="00E80822">
        <w:t xml:space="preserve">Binnen de doelgroep van </w:t>
      </w:r>
      <w:proofErr w:type="spellStart"/>
      <w:r w:rsidR="00E80822" w:rsidRPr="00E80822">
        <w:t>Vermogenthuis</w:t>
      </w:r>
      <w:proofErr w:type="spellEnd"/>
      <w:r w:rsidR="00E80822" w:rsidRPr="00E80822">
        <w:t xml:space="preserve"> vormen fiscale overwegingen een essentieel uitgangspunt voor de keuze van passende beleggingsoplossingen. Particulieren met vermogen boven de box-3-grens worden jaarlijks geconfronteerd met de vermogensrendementsheffing en zoeken strategieën die deze belastingdruk kunnen verlagen. Een van de meest efficiënte opties is pensioenbeleggen binnen de derde pijler. De inleg in een pensioenproduct is aftrekbaar in box 1, waardoor een direct fiscaal voordeel ontstaat, terwijl het opgebouwde vermogen volledig buiten box 3 blijft en gedurende de opbouwfase bruto kan renderen (</w:t>
      </w:r>
      <w:proofErr w:type="spellStart"/>
      <w:r w:rsidR="00E80822" w:rsidRPr="00E80822">
        <w:t>BrightPensioen</w:t>
      </w:r>
      <w:proofErr w:type="spellEnd"/>
      <w:r w:rsidR="00E80822" w:rsidRPr="00E80822">
        <w:t>, z.j.). In de uitkeringsfase wordt belasting geheven in box 1, maar doorgaans tegen een lager tarief dan het belastingvoordeel dat eerder bij de inleg is genoten. Wereldwijde aandelenfondsen en duurzame thematische fondsen kunnen binnen deze pensioenstructuren worden toegepast, waardoor zij aansluiten bij fiscaal efficiënt vermogensbeheer.</w:t>
      </w:r>
    </w:p>
    <w:p w14:paraId="4B30A719" w14:textId="68FE814C" w:rsidR="00E80822" w:rsidRDefault="00EF4227" w:rsidP="00E80822">
      <w:r w:rsidRPr="00EF4227">
        <w:rPr>
          <w:b/>
          <w:bCs/>
        </w:rPr>
        <w:t>2. Fiscale strategieën voor ondernemers met overtollig vermogen</w:t>
      </w:r>
      <w:r>
        <w:br/>
      </w:r>
      <w:r w:rsidR="00E80822" w:rsidRPr="00E80822">
        <w:t>Voor ondernemers speelt daarnaast de structuur van de besloten vennootschap (BV) een bepalende rol. Wanneer wordt belegd vanuit een BV, valt het vermogen niet in box 3; rendementen worden belast onder de vennootschapsbelasting, waardoor het vermogen zonder jaarlijkse vermogensheffing kan doorgroeien. Bovendien biedt de Wet excessief lenen bij eigen vennootschap de mogelijkheid dat directeur-grootaandeelhouders tot € 500.000 onder zakelijke voorwaarden kunnen lenen van de eigen holding. Deze schuld verlaagt de grondslag in box 3, terwijl het geleende bedrag privé kan worden ingezet voor beleggingen (Belastingdienst, 2025). Hierdoor kan vermogen fiscaal gunstig worden geherstructureerd, zonder directe belastingheffing in box 3.</w:t>
      </w:r>
      <w:r w:rsidR="00C24797">
        <w:br/>
      </w:r>
    </w:p>
    <w:p w14:paraId="5B66EB05" w14:textId="77777777" w:rsidR="00C57DD2" w:rsidRDefault="00C57DD2" w:rsidP="00E80822"/>
    <w:p w14:paraId="0833F58B" w14:textId="77777777" w:rsidR="00C57DD2" w:rsidRDefault="00C57DD2" w:rsidP="00E80822"/>
    <w:p w14:paraId="083628B6" w14:textId="77777777" w:rsidR="00C57DD2" w:rsidRDefault="00C57DD2" w:rsidP="00E80822"/>
    <w:p w14:paraId="2C8FE2B2" w14:textId="77777777" w:rsidR="00C57DD2" w:rsidRDefault="00C57DD2" w:rsidP="00E80822"/>
    <w:p w14:paraId="29077F7F" w14:textId="77777777" w:rsidR="00C57DD2" w:rsidRDefault="00C57DD2" w:rsidP="00E80822"/>
    <w:p w14:paraId="3037AEFD" w14:textId="77777777" w:rsidR="00C57DD2" w:rsidRPr="00E80822" w:rsidRDefault="00C57DD2" w:rsidP="00E80822"/>
    <w:p w14:paraId="24874858" w14:textId="730B4116" w:rsidR="00E80822" w:rsidRPr="00E80822" w:rsidRDefault="00EF4227" w:rsidP="00E80822">
      <w:r w:rsidRPr="00EF4227">
        <w:rPr>
          <w:b/>
          <w:bCs/>
        </w:rPr>
        <w:t>3. Specifieke fiscale voordelen rondom duurzaam beleggen</w:t>
      </w:r>
      <w:r>
        <w:br/>
      </w:r>
      <w:r w:rsidR="00E80822" w:rsidRPr="00E80822">
        <w:t>Naast deze algemene fiscale structuren bestaan er specifieke voordelen voor duurzaam sparen en beleggen. Erkende groene beleggingen komen in aanmerking voor een aanvullende vrijstelling in box 3 en in bepaalde gevallen een extra heffingskorting in box 1 (Rijksoverheid, z.j.; Belastingdienst, 2025). Hoewel de fondsen die in deze analyse worden geselecteerd niet binnen het officiële “groenfondsen-regime” vallen, sluit de bredere categorie duurzame fondsen wel aan op toekomstige fiscale ontwikkelingen, zoals de overstap naar belastingheffing op werkelijk rendement. Duurzame fondsen kenmerken zich doorgaans door een lager risicoprofiel en stabielere rendementspatronen, wat onder een werkelijk-</w:t>
      </w:r>
      <w:proofErr w:type="spellStart"/>
      <w:r w:rsidR="00E80822" w:rsidRPr="00E80822">
        <w:t>rendementstelsel</w:t>
      </w:r>
      <w:proofErr w:type="spellEnd"/>
      <w:r w:rsidR="00E80822" w:rsidRPr="00E80822">
        <w:t xml:space="preserve"> kan leiden tot een lagere belastingdruk.</w:t>
      </w:r>
    </w:p>
    <w:p w14:paraId="74EF1EC6" w14:textId="438F5406" w:rsidR="00E80822" w:rsidRPr="00E80822" w:rsidRDefault="002C3869" w:rsidP="00E80822">
      <w:r w:rsidRPr="002C3869">
        <w:rPr>
          <w:b/>
          <w:bCs/>
        </w:rPr>
        <w:t>4. Relevantie voor de fondsselectie</w:t>
      </w:r>
      <w:r>
        <w:br/>
      </w:r>
      <w:r w:rsidR="00E80822" w:rsidRPr="00E80822">
        <w:t xml:space="preserve">Deze fiscale context vormt de basis voor de selectie van beleggingsfondsen in stap 2. Zowel wereldwijde aandelenfondsen als duurzame thematische fondsen kunnen worden ingezet binnen meerdere fiscale strategieën: pensioenbeleggen, reguliere box-3-beleggingen, BV-structuren of hybride constructies zoals leningen vanuit de holding. Daarmee sluiten deze fondsen niet alleen aan bij de duurzame waarden van </w:t>
      </w:r>
      <w:proofErr w:type="spellStart"/>
      <w:r w:rsidR="00E80822" w:rsidRPr="00E80822">
        <w:t>Vermogenthuis</w:t>
      </w:r>
      <w:proofErr w:type="spellEnd"/>
      <w:r w:rsidR="00E80822" w:rsidRPr="00E80822">
        <w:t>, maar ook bij de behoefte van de doelgroep om vermogen fiscaal efficiënt te structureren en op verantwoorde wijze te laten groeien.</w:t>
      </w:r>
    </w:p>
    <w:p w14:paraId="147C84B9" w14:textId="23126FC8" w:rsidR="00E80822" w:rsidRPr="00E80822" w:rsidRDefault="00E80822" w:rsidP="00E80822"/>
    <w:p w14:paraId="28DC0A36" w14:textId="77777777" w:rsidR="004913DF" w:rsidRDefault="004913DF" w:rsidP="162A4C99">
      <w:pPr>
        <w:rPr>
          <w:b/>
          <w:bCs/>
        </w:rPr>
      </w:pPr>
    </w:p>
    <w:p w14:paraId="0A021410" w14:textId="77777777" w:rsidR="004913DF" w:rsidRDefault="004913DF" w:rsidP="162A4C99">
      <w:pPr>
        <w:rPr>
          <w:b/>
          <w:bCs/>
        </w:rPr>
      </w:pPr>
    </w:p>
    <w:p w14:paraId="7BCCC747" w14:textId="77777777" w:rsidR="004913DF" w:rsidRDefault="004913DF" w:rsidP="162A4C99">
      <w:pPr>
        <w:rPr>
          <w:b/>
          <w:bCs/>
        </w:rPr>
      </w:pPr>
    </w:p>
    <w:p w14:paraId="50E23C0E" w14:textId="77777777" w:rsidR="004913DF" w:rsidRDefault="004913DF" w:rsidP="162A4C99">
      <w:pPr>
        <w:rPr>
          <w:b/>
          <w:bCs/>
        </w:rPr>
      </w:pPr>
    </w:p>
    <w:p w14:paraId="74D60BFD" w14:textId="77777777" w:rsidR="004913DF" w:rsidRDefault="004913DF" w:rsidP="162A4C99">
      <w:pPr>
        <w:rPr>
          <w:b/>
          <w:bCs/>
        </w:rPr>
      </w:pPr>
    </w:p>
    <w:p w14:paraId="01CD570C" w14:textId="77777777" w:rsidR="004913DF" w:rsidRDefault="004913DF" w:rsidP="162A4C99">
      <w:pPr>
        <w:rPr>
          <w:b/>
          <w:bCs/>
        </w:rPr>
      </w:pPr>
    </w:p>
    <w:p w14:paraId="00890EE6" w14:textId="77777777" w:rsidR="004913DF" w:rsidRDefault="004913DF" w:rsidP="162A4C99">
      <w:pPr>
        <w:rPr>
          <w:b/>
          <w:bCs/>
        </w:rPr>
      </w:pPr>
    </w:p>
    <w:p w14:paraId="0714B223" w14:textId="77777777" w:rsidR="004913DF" w:rsidRDefault="004913DF" w:rsidP="162A4C99">
      <w:pPr>
        <w:rPr>
          <w:b/>
          <w:bCs/>
        </w:rPr>
      </w:pPr>
    </w:p>
    <w:p w14:paraId="3F66E2F3" w14:textId="77777777" w:rsidR="004913DF" w:rsidRDefault="004913DF" w:rsidP="162A4C99">
      <w:pPr>
        <w:rPr>
          <w:b/>
          <w:bCs/>
        </w:rPr>
      </w:pPr>
    </w:p>
    <w:p w14:paraId="28F23C94" w14:textId="77777777" w:rsidR="004913DF" w:rsidRDefault="004913DF" w:rsidP="162A4C99">
      <w:pPr>
        <w:rPr>
          <w:b/>
          <w:bCs/>
        </w:rPr>
      </w:pPr>
    </w:p>
    <w:p w14:paraId="66EC7AF1" w14:textId="77777777" w:rsidR="004913DF" w:rsidRDefault="004913DF" w:rsidP="162A4C99">
      <w:pPr>
        <w:rPr>
          <w:b/>
          <w:bCs/>
        </w:rPr>
      </w:pPr>
    </w:p>
    <w:p w14:paraId="2D5B86D8" w14:textId="77777777" w:rsidR="004913DF" w:rsidRDefault="004913DF" w:rsidP="162A4C99">
      <w:pPr>
        <w:rPr>
          <w:b/>
          <w:bCs/>
        </w:rPr>
      </w:pPr>
    </w:p>
    <w:p w14:paraId="28DB5897" w14:textId="197F3ABB" w:rsidR="00C24797" w:rsidRPr="008F021C" w:rsidRDefault="00C24797" w:rsidP="162A4C99"/>
    <w:p w14:paraId="65573F5B" w14:textId="0225FDBE" w:rsidR="00C24797" w:rsidRDefault="00C24797" w:rsidP="0037523B">
      <w:pPr>
        <w:pStyle w:val="Heading1"/>
      </w:pPr>
      <w:bookmarkStart w:id="16" w:name="_Toc218449555"/>
      <w:r>
        <w:t xml:space="preserve">4. Selectie </w:t>
      </w:r>
      <w:r w:rsidR="0037523B">
        <w:t>van beleggingsfondsen</w:t>
      </w:r>
      <w:bookmarkEnd w:id="16"/>
      <w:r w:rsidR="0037523B">
        <w:t xml:space="preserve"> </w:t>
      </w:r>
    </w:p>
    <w:p w14:paraId="5EDADBFC" w14:textId="77777777" w:rsidR="00C24797" w:rsidRDefault="00C24797" w:rsidP="00FA55E4"/>
    <w:p w14:paraId="6ED665CA" w14:textId="555EAB29" w:rsidR="00FA55E4" w:rsidRPr="0037523B" w:rsidRDefault="0037523B" w:rsidP="0037523B">
      <w:pPr>
        <w:pStyle w:val="Heading2"/>
        <w:rPr>
          <w:sz w:val="32"/>
          <w:szCs w:val="32"/>
        </w:rPr>
      </w:pPr>
      <w:bookmarkStart w:id="17" w:name="_Toc218449556"/>
      <w:r w:rsidRPr="0037523B">
        <w:rPr>
          <w:sz w:val="32"/>
          <w:szCs w:val="32"/>
        </w:rPr>
        <w:t>4.</w:t>
      </w:r>
      <w:r w:rsidR="00FA55E4" w:rsidRPr="0037523B">
        <w:rPr>
          <w:sz w:val="32"/>
          <w:szCs w:val="32"/>
        </w:rPr>
        <w:t>1</w:t>
      </w:r>
      <w:r w:rsidRPr="0037523B">
        <w:rPr>
          <w:sz w:val="32"/>
          <w:szCs w:val="32"/>
        </w:rPr>
        <w:t xml:space="preserve"> </w:t>
      </w:r>
      <w:r w:rsidR="00FA55E4" w:rsidRPr="0037523B">
        <w:rPr>
          <w:sz w:val="32"/>
          <w:szCs w:val="32"/>
        </w:rPr>
        <w:t>Geselecteerde fondsen (overzicht)</w:t>
      </w:r>
      <w:bookmarkEnd w:id="17"/>
    </w:p>
    <w:p w14:paraId="320BE6A1" w14:textId="386F5CA1" w:rsidR="00FA55E4" w:rsidRPr="0037523B" w:rsidRDefault="0037523B" w:rsidP="00FA55E4">
      <w:pPr>
        <w:rPr>
          <w:b/>
          <w:bCs/>
        </w:rPr>
      </w:pPr>
      <w:r>
        <w:rPr>
          <w:b/>
          <w:bCs/>
        </w:rPr>
        <w:br/>
      </w:r>
      <w:r w:rsidR="00FA55E4" w:rsidRPr="0037523B">
        <w:rPr>
          <w:b/>
          <w:bCs/>
        </w:rPr>
        <w:t>Wereldwijde aandelenfondsen</w:t>
      </w:r>
      <w:r>
        <w:rPr>
          <w:b/>
          <w:bCs/>
        </w:rPr>
        <w:t>:</w:t>
      </w:r>
    </w:p>
    <w:p w14:paraId="0D9B7CCB" w14:textId="77777777" w:rsidR="00FA55E4" w:rsidRPr="00FA55E4" w:rsidRDefault="00FA55E4" w:rsidP="00FA55E4">
      <w:pPr>
        <w:numPr>
          <w:ilvl w:val="0"/>
          <w:numId w:val="2"/>
        </w:numPr>
        <w:rPr>
          <w:lang w:val="en-US"/>
        </w:rPr>
      </w:pPr>
      <w:r w:rsidRPr="00FA55E4">
        <w:rPr>
          <w:lang w:val="en-US"/>
        </w:rPr>
        <w:t>BlackRock – iShares Core MSCI World UCITS ETF (Acc)</w:t>
      </w:r>
    </w:p>
    <w:p w14:paraId="210F241B" w14:textId="77777777" w:rsidR="00FA55E4" w:rsidRPr="00FA55E4" w:rsidRDefault="00FA55E4" w:rsidP="00FA55E4">
      <w:pPr>
        <w:numPr>
          <w:ilvl w:val="1"/>
          <w:numId w:val="2"/>
        </w:numPr>
      </w:pPr>
      <w:r w:rsidRPr="00FA55E4">
        <w:t>ISIN: IE00B4L5Y983</w:t>
      </w:r>
    </w:p>
    <w:p w14:paraId="5CE8E7AA" w14:textId="1678DB9D" w:rsidR="00FA55E4" w:rsidRPr="00FA55E4" w:rsidRDefault="00FA55E4" w:rsidP="00FA55E4">
      <w:pPr>
        <w:numPr>
          <w:ilvl w:val="1"/>
          <w:numId w:val="2"/>
        </w:numPr>
      </w:pPr>
      <w:r w:rsidRPr="00FA55E4">
        <w:t xml:space="preserve">Wereldwijde </w:t>
      </w:r>
      <w:proofErr w:type="spellStart"/>
      <w:r w:rsidRPr="00FA55E4">
        <w:t>indextracker</w:t>
      </w:r>
      <w:proofErr w:type="spellEnd"/>
      <w:r w:rsidRPr="00FA55E4">
        <w:t xml:space="preserve"> op de MSCI World Index (Net) met ca. 1.300 large- en </w:t>
      </w:r>
      <w:proofErr w:type="spellStart"/>
      <w:r w:rsidRPr="00FA55E4">
        <w:t>midcap</w:t>
      </w:r>
      <w:proofErr w:type="spellEnd"/>
      <w:r w:rsidRPr="00FA55E4">
        <w:t>-aandelen uit 23 ontwikkelde landen. Totale kosten: 0,20% TER (</w:t>
      </w:r>
      <w:proofErr w:type="spellStart"/>
      <w:r w:rsidRPr="00FA55E4">
        <w:t>BlackRock</w:t>
      </w:r>
      <w:proofErr w:type="spellEnd"/>
      <w:r w:rsidRPr="00FA55E4">
        <w:t xml:space="preserve">, 2025a). </w:t>
      </w:r>
    </w:p>
    <w:p w14:paraId="6E0C4603" w14:textId="77777777" w:rsidR="00FA55E4" w:rsidRPr="00FA55E4" w:rsidRDefault="00FA55E4" w:rsidP="00FA55E4">
      <w:pPr>
        <w:numPr>
          <w:ilvl w:val="0"/>
          <w:numId w:val="2"/>
        </w:numPr>
        <w:rPr>
          <w:lang w:val="en-US"/>
        </w:rPr>
      </w:pPr>
      <w:proofErr w:type="spellStart"/>
      <w:r w:rsidRPr="00FA55E4">
        <w:rPr>
          <w:lang w:val="en-US"/>
        </w:rPr>
        <w:t>Triodos</w:t>
      </w:r>
      <w:proofErr w:type="spellEnd"/>
      <w:r w:rsidRPr="00FA55E4">
        <w:rPr>
          <w:lang w:val="en-US"/>
        </w:rPr>
        <w:t xml:space="preserve"> – </w:t>
      </w:r>
      <w:proofErr w:type="spellStart"/>
      <w:r w:rsidRPr="00FA55E4">
        <w:rPr>
          <w:lang w:val="en-US"/>
        </w:rPr>
        <w:t>Triodos</w:t>
      </w:r>
      <w:proofErr w:type="spellEnd"/>
      <w:r w:rsidRPr="00FA55E4">
        <w:rPr>
          <w:lang w:val="en-US"/>
        </w:rPr>
        <w:t xml:space="preserve"> Global Equities Impact Fund (Z-cap / Z-dis)</w:t>
      </w:r>
    </w:p>
    <w:p w14:paraId="67E6D873" w14:textId="77777777" w:rsidR="00FA55E4" w:rsidRPr="00FA55E4" w:rsidRDefault="00FA55E4" w:rsidP="00FA55E4">
      <w:pPr>
        <w:numPr>
          <w:ilvl w:val="1"/>
          <w:numId w:val="2"/>
        </w:numPr>
      </w:pPr>
      <w:r w:rsidRPr="00FA55E4">
        <w:t>ISIN (NL-variant Z-cap): LU0785617423</w:t>
      </w:r>
    </w:p>
    <w:p w14:paraId="1E0A9B41" w14:textId="650F4938" w:rsidR="00FA55E4" w:rsidRPr="00FA55E4" w:rsidRDefault="00FA55E4" w:rsidP="00FA55E4">
      <w:pPr>
        <w:numPr>
          <w:ilvl w:val="1"/>
          <w:numId w:val="2"/>
        </w:numPr>
      </w:pPr>
      <w:r w:rsidRPr="00FA55E4">
        <w:t>Actief wereldwijd aandelenfonds met expliciete duurzame doelstelling (SFDR artikel 9), dat belegt in bedrijven die bijdragen aan transities in energie, grondstoffen, voedsel, maatschappij en welzijn (Triodos Investment Management, 2025a; 2025b).</w:t>
      </w:r>
      <w:r w:rsidR="00082859" w:rsidRPr="00FA55E4">
        <w:t xml:space="preserve"> </w:t>
      </w:r>
    </w:p>
    <w:p w14:paraId="17F2E089" w14:textId="23416AAD" w:rsidR="00FA55E4" w:rsidRPr="0037523B" w:rsidRDefault="00FA55E4" w:rsidP="00FA55E4">
      <w:pPr>
        <w:rPr>
          <w:b/>
          <w:bCs/>
        </w:rPr>
      </w:pPr>
      <w:r w:rsidRPr="0037523B">
        <w:rPr>
          <w:b/>
          <w:bCs/>
        </w:rPr>
        <w:t>Speciale duurzame fondsen (energietransitie)</w:t>
      </w:r>
      <w:r w:rsidR="0037523B">
        <w:rPr>
          <w:b/>
          <w:bCs/>
        </w:rPr>
        <w:t>:</w:t>
      </w:r>
    </w:p>
    <w:p w14:paraId="5B9CAC07" w14:textId="77777777" w:rsidR="00FA55E4" w:rsidRPr="00FA55E4" w:rsidRDefault="00FA55E4" w:rsidP="00FA55E4">
      <w:pPr>
        <w:numPr>
          <w:ilvl w:val="0"/>
          <w:numId w:val="3"/>
        </w:numPr>
        <w:rPr>
          <w:lang w:val="en-US"/>
        </w:rPr>
      </w:pPr>
      <w:r w:rsidRPr="00FA55E4">
        <w:rPr>
          <w:lang w:val="en-US"/>
        </w:rPr>
        <w:t>BlackRock – BGF Sustainable Energy Fund (Class A2 USD)</w:t>
      </w:r>
    </w:p>
    <w:p w14:paraId="24807497" w14:textId="77777777" w:rsidR="00FA55E4" w:rsidRPr="00FA55E4" w:rsidRDefault="00FA55E4" w:rsidP="00FA55E4">
      <w:pPr>
        <w:numPr>
          <w:ilvl w:val="1"/>
          <w:numId w:val="3"/>
        </w:numPr>
      </w:pPr>
      <w:r w:rsidRPr="00FA55E4">
        <w:t>ISIN: LU0124384867</w:t>
      </w:r>
    </w:p>
    <w:p w14:paraId="6F059BD8" w14:textId="3460F0C0" w:rsidR="00FA55E4" w:rsidRPr="00FA55E4" w:rsidRDefault="00FA55E4" w:rsidP="00FA55E4">
      <w:pPr>
        <w:numPr>
          <w:ilvl w:val="1"/>
          <w:numId w:val="3"/>
        </w:numPr>
      </w:pPr>
      <w:r w:rsidRPr="00FA55E4">
        <w:t>Thematisch aandelenfonds dat wereldwijd belegt in ondernemingen in de sector duurzame energie en energie-infrastructuur (wind, zon, netwerken, opslag). SFDR-classificatie: artikel 9, lopende kosten ca. 1,96% (</w:t>
      </w:r>
      <w:proofErr w:type="spellStart"/>
      <w:r w:rsidRPr="00FA55E4">
        <w:t>BlackRock</w:t>
      </w:r>
      <w:proofErr w:type="spellEnd"/>
      <w:r w:rsidRPr="00FA55E4">
        <w:t>, 2025b; 2025c).</w:t>
      </w:r>
      <w:r w:rsidR="00082859" w:rsidRPr="00FA55E4">
        <w:t xml:space="preserve"> </w:t>
      </w:r>
    </w:p>
    <w:p w14:paraId="4538A940" w14:textId="77777777" w:rsidR="00FA55E4" w:rsidRPr="00FA55E4" w:rsidRDefault="00FA55E4" w:rsidP="00FA55E4">
      <w:pPr>
        <w:numPr>
          <w:ilvl w:val="0"/>
          <w:numId w:val="3"/>
        </w:numPr>
        <w:rPr>
          <w:lang w:val="en-US"/>
        </w:rPr>
      </w:pPr>
      <w:proofErr w:type="spellStart"/>
      <w:r w:rsidRPr="00FA55E4">
        <w:rPr>
          <w:lang w:val="en-US"/>
        </w:rPr>
        <w:t>Triodos</w:t>
      </w:r>
      <w:proofErr w:type="spellEnd"/>
      <w:r w:rsidRPr="00FA55E4">
        <w:rPr>
          <w:lang w:val="en-US"/>
        </w:rPr>
        <w:t xml:space="preserve"> – </w:t>
      </w:r>
      <w:proofErr w:type="spellStart"/>
      <w:r w:rsidRPr="00FA55E4">
        <w:rPr>
          <w:lang w:val="en-US"/>
        </w:rPr>
        <w:t>Triodos</w:t>
      </w:r>
      <w:proofErr w:type="spellEnd"/>
      <w:r w:rsidRPr="00FA55E4">
        <w:rPr>
          <w:lang w:val="en-US"/>
        </w:rPr>
        <w:t xml:space="preserve"> Energy Transition Europe Fund (Z2-cap)</w:t>
      </w:r>
    </w:p>
    <w:p w14:paraId="29C1D8CA" w14:textId="77777777" w:rsidR="00FA55E4" w:rsidRPr="00FA55E4" w:rsidRDefault="00FA55E4" w:rsidP="00FA55E4">
      <w:pPr>
        <w:numPr>
          <w:ilvl w:val="1"/>
          <w:numId w:val="3"/>
        </w:numPr>
      </w:pPr>
      <w:r w:rsidRPr="00FA55E4">
        <w:t>ISIN: NL0013908700</w:t>
      </w:r>
    </w:p>
    <w:p w14:paraId="0CA67D60" w14:textId="41BC4A87" w:rsidR="00FA55E4" w:rsidRPr="00FA55E4" w:rsidRDefault="00FA55E4" w:rsidP="00FA55E4">
      <w:pPr>
        <w:numPr>
          <w:ilvl w:val="1"/>
          <w:numId w:val="3"/>
        </w:numPr>
      </w:pPr>
      <w:r w:rsidRPr="00FA55E4">
        <w:t xml:space="preserve">Europees impactfonds dat direct investeert in projecten voor schone energie (wind, zon, waterkracht, batterijopslag), met expliciete doelstelling CO₂-reductie. Gemiddeld rendement over 5 jaar: 7,13% per jaar, fondskosten 2,69%, servicekosten 0,48% (Triodos Bank, 2025a). </w:t>
      </w:r>
    </w:p>
    <w:p w14:paraId="6A2483FE" w14:textId="64F5B8B8" w:rsidR="00FA55E4" w:rsidRDefault="00FA55E4" w:rsidP="00FA55E4"/>
    <w:p w14:paraId="4559E67C" w14:textId="77777777" w:rsidR="0037523B" w:rsidRPr="00FA55E4" w:rsidRDefault="0037523B" w:rsidP="00FA55E4"/>
    <w:p w14:paraId="15E8A95A" w14:textId="6520D3EF" w:rsidR="00FA55E4" w:rsidRDefault="0037523B" w:rsidP="0037523B">
      <w:pPr>
        <w:pStyle w:val="Heading2"/>
        <w:rPr>
          <w:sz w:val="32"/>
          <w:szCs w:val="32"/>
        </w:rPr>
      </w:pPr>
      <w:bookmarkStart w:id="18" w:name="_Toc218449557"/>
      <w:r w:rsidRPr="0037523B">
        <w:rPr>
          <w:sz w:val="32"/>
          <w:szCs w:val="32"/>
        </w:rPr>
        <w:t xml:space="preserve">4.2 </w:t>
      </w:r>
      <w:r w:rsidR="00FA55E4" w:rsidRPr="0037523B">
        <w:rPr>
          <w:sz w:val="32"/>
          <w:szCs w:val="32"/>
        </w:rPr>
        <w:t xml:space="preserve"> Vergelijking wereldwijde aandelenfondsen</w:t>
      </w:r>
      <w:bookmarkEnd w:id="18"/>
      <w:r w:rsidR="00B4508C">
        <w:rPr>
          <w:sz w:val="32"/>
          <w:szCs w:val="32"/>
        </w:rPr>
        <w:br/>
      </w:r>
    </w:p>
    <w:p w14:paraId="02911D92" w14:textId="77777777" w:rsidR="00B4508C" w:rsidRPr="00B4508C" w:rsidRDefault="00B4508C" w:rsidP="00B4508C">
      <w:r w:rsidRPr="00B4508C">
        <w:t xml:space="preserve">Onderstaand staat een competitief overzicht van de belangrijkste kwantitatieve verschillen tussen het </w:t>
      </w:r>
      <w:proofErr w:type="spellStart"/>
      <w:r w:rsidRPr="00B4508C">
        <w:t>iShares</w:t>
      </w:r>
      <w:proofErr w:type="spellEnd"/>
      <w:r w:rsidRPr="00B4508C">
        <w:t xml:space="preserve"> </w:t>
      </w:r>
      <w:proofErr w:type="spellStart"/>
      <w:r w:rsidRPr="00B4508C">
        <w:t>Core</w:t>
      </w:r>
      <w:proofErr w:type="spellEnd"/>
      <w:r w:rsidRPr="00B4508C">
        <w:t xml:space="preserve"> MSCI World UCITS ETF en het Triodos Global </w:t>
      </w:r>
      <w:proofErr w:type="spellStart"/>
      <w:r w:rsidRPr="00B4508C">
        <w:t>Equities</w:t>
      </w:r>
      <w:proofErr w:type="spellEnd"/>
      <w:r w:rsidRPr="00B4508C">
        <w:t xml:space="preserve"> Impact Fund. Deze gegevens vormen de basis voor de scorebepaling in de beslissingsmatrix. Na deze tabel worden de individuele scores per criterium verder toegelicht.</w:t>
      </w:r>
    </w:p>
    <w:p w14:paraId="14281E1E" w14:textId="376F6A3E" w:rsidR="00B4508C" w:rsidRPr="00B4508C" w:rsidRDefault="00B4508C" w:rsidP="00B4508C">
      <w:pPr>
        <w:rPr>
          <w:b/>
          <w:bCs/>
        </w:rPr>
      </w:pPr>
      <w:r w:rsidRPr="00B4508C">
        <w:rPr>
          <w:b/>
          <w:bCs/>
        </w:rPr>
        <w:t>Kwantitatieve vergelijking wereldwijde aandelenfondsen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3"/>
        <w:gridCol w:w="3390"/>
        <w:gridCol w:w="2823"/>
      </w:tblGrid>
      <w:tr w:rsidR="00B4508C" w:rsidRPr="00DC7246" w14:paraId="7EEC3AD8" w14:textId="77777777" w:rsidTr="00B4508C">
        <w:trPr>
          <w:tblHeader/>
          <w:tblCellSpacing w:w="15" w:type="dxa"/>
        </w:trPr>
        <w:tc>
          <w:tcPr>
            <w:tcW w:w="0" w:type="auto"/>
            <w:vAlign w:val="center"/>
            <w:hideMark/>
          </w:tcPr>
          <w:p w14:paraId="62182197" w14:textId="77777777" w:rsidR="00B4508C" w:rsidRPr="00B4508C" w:rsidRDefault="00B4508C" w:rsidP="00B4508C">
            <w:pPr>
              <w:rPr>
                <w:b/>
                <w:bCs/>
              </w:rPr>
            </w:pPr>
            <w:r w:rsidRPr="00B4508C">
              <w:rPr>
                <w:b/>
                <w:bCs/>
              </w:rPr>
              <w:t>Criterium</w:t>
            </w:r>
          </w:p>
        </w:tc>
        <w:tc>
          <w:tcPr>
            <w:tcW w:w="0" w:type="auto"/>
            <w:vAlign w:val="center"/>
            <w:hideMark/>
          </w:tcPr>
          <w:p w14:paraId="52CD93A4" w14:textId="77777777" w:rsidR="00B4508C" w:rsidRPr="00B4508C" w:rsidRDefault="00B4508C" w:rsidP="00B4508C">
            <w:pPr>
              <w:rPr>
                <w:b/>
                <w:bCs/>
                <w:lang w:val="en-US"/>
              </w:rPr>
            </w:pPr>
            <w:r w:rsidRPr="00B4508C">
              <w:rPr>
                <w:b/>
                <w:bCs/>
                <w:lang w:val="en-US"/>
              </w:rPr>
              <w:t>iShares Core MSCI World UCITS ETF (Acc)</w:t>
            </w:r>
          </w:p>
        </w:tc>
        <w:tc>
          <w:tcPr>
            <w:tcW w:w="0" w:type="auto"/>
            <w:vAlign w:val="center"/>
            <w:hideMark/>
          </w:tcPr>
          <w:p w14:paraId="33A5E919" w14:textId="77777777" w:rsidR="00B4508C" w:rsidRPr="00B4508C" w:rsidRDefault="00B4508C" w:rsidP="00B4508C">
            <w:pPr>
              <w:rPr>
                <w:b/>
                <w:bCs/>
                <w:lang w:val="en-US"/>
              </w:rPr>
            </w:pPr>
            <w:proofErr w:type="spellStart"/>
            <w:r w:rsidRPr="00B4508C">
              <w:rPr>
                <w:b/>
                <w:bCs/>
                <w:lang w:val="en-US"/>
              </w:rPr>
              <w:t>Triodos</w:t>
            </w:r>
            <w:proofErr w:type="spellEnd"/>
            <w:r w:rsidRPr="00B4508C">
              <w:rPr>
                <w:b/>
                <w:bCs/>
                <w:lang w:val="en-US"/>
              </w:rPr>
              <w:t xml:space="preserve"> Global Equities Impact Fund (Z-cap)</w:t>
            </w:r>
          </w:p>
        </w:tc>
      </w:tr>
      <w:tr w:rsidR="00B4508C" w:rsidRPr="00B4508C" w14:paraId="7E20BC21" w14:textId="77777777" w:rsidTr="00B4508C">
        <w:trPr>
          <w:tblCellSpacing w:w="15" w:type="dxa"/>
        </w:trPr>
        <w:tc>
          <w:tcPr>
            <w:tcW w:w="0" w:type="auto"/>
            <w:vAlign w:val="center"/>
            <w:hideMark/>
          </w:tcPr>
          <w:p w14:paraId="479A7DB5" w14:textId="77777777" w:rsidR="00B4508C" w:rsidRPr="00B4508C" w:rsidRDefault="00B4508C" w:rsidP="00B4508C">
            <w:r w:rsidRPr="00B4508C">
              <w:rPr>
                <w:b/>
                <w:bCs/>
              </w:rPr>
              <w:t>5-jaarsrendement (CAGR)</w:t>
            </w:r>
          </w:p>
        </w:tc>
        <w:tc>
          <w:tcPr>
            <w:tcW w:w="0" w:type="auto"/>
            <w:vAlign w:val="center"/>
            <w:hideMark/>
          </w:tcPr>
          <w:p w14:paraId="0CD571BB" w14:textId="77777777" w:rsidR="00B4508C" w:rsidRPr="00B4508C" w:rsidRDefault="00B4508C" w:rsidP="00B4508C">
            <w:pPr>
              <w:rPr>
                <w:lang w:val="en-US"/>
              </w:rPr>
            </w:pPr>
            <w:r w:rsidRPr="00B4508C">
              <w:rPr>
                <w:lang w:val="en-US"/>
              </w:rPr>
              <w:t xml:space="preserve">ca. </w:t>
            </w:r>
            <w:r w:rsidRPr="00B4508C">
              <w:rPr>
                <w:b/>
                <w:bCs/>
                <w:lang w:val="en-US"/>
              </w:rPr>
              <w:t xml:space="preserve">12,9% per </w:t>
            </w:r>
            <w:proofErr w:type="spellStart"/>
            <w:r w:rsidRPr="00B4508C">
              <w:rPr>
                <w:b/>
                <w:bCs/>
                <w:lang w:val="en-US"/>
              </w:rPr>
              <w:t>jaar</w:t>
            </w:r>
            <w:proofErr w:type="spellEnd"/>
            <w:r w:rsidRPr="00B4508C">
              <w:rPr>
                <w:lang w:val="en-US"/>
              </w:rPr>
              <w:t xml:space="preserve"> (Fidelity/Morningstar, 2025)</w:t>
            </w:r>
          </w:p>
        </w:tc>
        <w:tc>
          <w:tcPr>
            <w:tcW w:w="0" w:type="auto"/>
            <w:vAlign w:val="center"/>
            <w:hideMark/>
          </w:tcPr>
          <w:p w14:paraId="7378D8C4" w14:textId="77777777" w:rsidR="00B4508C" w:rsidRPr="00B4508C" w:rsidRDefault="00B4508C" w:rsidP="00B4508C">
            <w:r w:rsidRPr="00B4508C">
              <w:t xml:space="preserve">ca. </w:t>
            </w:r>
            <w:r w:rsidRPr="00B4508C">
              <w:rPr>
                <w:b/>
                <w:bCs/>
              </w:rPr>
              <w:t>6,4% per jaar</w:t>
            </w:r>
            <w:r w:rsidRPr="00B4508C">
              <w:t xml:space="preserve"> (Triodos IM, 2025)</w:t>
            </w:r>
          </w:p>
        </w:tc>
      </w:tr>
      <w:tr w:rsidR="00B4508C" w:rsidRPr="00B4508C" w14:paraId="35AF8262" w14:textId="77777777" w:rsidTr="00B4508C">
        <w:trPr>
          <w:tblCellSpacing w:w="15" w:type="dxa"/>
        </w:trPr>
        <w:tc>
          <w:tcPr>
            <w:tcW w:w="0" w:type="auto"/>
            <w:vAlign w:val="center"/>
            <w:hideMark/>
          </w:tcPr>
          <w:p w14:paraId="48DE319A" w14:textId="77777777" w:rsidR="00B4508C" w:rsidRPr="00B4508C" w:rsidRDefault="00B4508C" w:rsidP="00B4508C">
            <w:r w:rsidRPr="00B4508C">
              <w:rPr>
                <w:b/>
                <w:bCs/>
              </w:rPr>
              <w:t>Risico-indicator</w:t>
            </w:r>
          </w:p>
        </w:tc>
        <w:tc>
          <w:tcPr>
            <w:tcW w:w="0" w:type="auto"/>
            <w:vAlign w:val="center"/>
            <w:hideMark/>
          </w:tcPr>
          <w:p w14:paraId="0F21C547" w14:textId="77777777" w:rsidR="00B4508C" w:rsidRPr="00B4508C" w:rsidRDefault="00B4508C" w:rsidP="00B4508C">
            <w:r w:rsidRPr="00B4508C">
              <w:rPr>
                <w:b/>
                <w:bCs/>
              </w:rPr>
              <w:t>Volatiliteit 5 jaar: 14,8%</w:t>
            </w:r>
            <w:r w:rsidRPr="00B4508C">
              <w:t xml:space="preserve"> (</w:t>
            </w:r>
            <w:proofErr w:type="spellStart"/>
            <w:r w:rsidRPr="00B4508C">
              <w:t>justETF</w:t>
            </w:r>
            <w:proofErr w:type="spellEnd"/>
            <w:r w:rsidRPr="00B4508C">
              <w:t>, 2025)</w:t>
            </w:r>
          </w:p>
        </w:tc>
        <w:tc>
          <w:tcPr>
            <w:tcW w:w="0" w:type="auto"/>
            <w:vAlign w:val="center"/>
            <w:hideMark/>
          </w:tcPr>
          <w:p w14:paraId="1D99F097" w14:textId="77777777" w:rsidR="00B4508C" w:rsidRPr="00B4508C" w:rsidRDefault="00B4508C" w:rsidP="00B4508C">
            <w:r w:rsidRPr="00B4508C">
              <w:rPr>
                <w:b/>
                <w:bCs/>
              </w:rPr>
              <w:t>Risicoklasse: 3/7</w:t>
            </w:r>
            <w:r w:rsidRPr="00B4508C">
              <w:t xml:space="preserve"> (Triodos IM, 2025)</w:t>
            </w:r>
          </w:p>
        </w:tc>
      </w:tr>
      <w:tr w:rsidR="00B4508C" w:rsidRPr="00B4508C" w14:paraId="13A7AB80" w14:textId="77777777" w:rsidTr="00B4508C">
        <w:trPr>
          <w:tblCellSpacing w:w="15" w:type="dxa"/>
        </w:trPr>
        <w:tc>
          <w:tcPr>
            <w:tcW w:w="0" w:type="auto"/>
            <w:vAlign w:val="center"/>
            <w:hideMark/>
          </w:tcPr>
          <w:p w14:paraId="2929C5EA" w14:textId="77777777" w:rsidR="00B4508C" w:rsidRPr="00B4508C" w:rsidRDefault="00B4508C" w:rsidP="00B4508C">
            <w:r w:rsidRPr="00B4508C">
              <w:rPr>
                <w:b/>
                <w:bCs/>
              </w:rPr>
              <w:t>Jaarlijkse kosten (TER)</w:t>
            </w:r>
          </w:p>
        </w:tc>
        <w:tc>
          <w:tcPr>
            <w:tcW w:w="0" w:type="auto"/>
            <w:vAlign w:val="center"/>
            <w:hideMark/>
          </w:tcPr>
          <w:p w14:paraId="429A7374" w14:textId="77777777" w:rsidR="00B4508C" w:rsidRPr="00B4508C" w:rsidRDefault="00B4508C" w:rsidP="00B4508C">
            <w:r w:rsidRPr="00B4508C">
              <w:rPr>
                <w:b/>
                <w:bCs/>
              </w:rPr>
              <w:t>0,20%</w:t>
            </w:r>
            <w:r w:rsidRPr="00B4508C">
              <w:t xml:space="preserve"> (</w:t>
            </w:r>
            <w:proofErr w:type="spellStart"/>
            <w:r w:rsidRPr="00B4508C">
              <w:t>justETF</w:t>
            </w:r>
            <w:proofErr w:type="spellEnd"/>
            <w:r w:rsidRPr="00B4508C">
              <w:t>, 2025)</w:t>
            </w:r>
          </w:p>
        </w:tc>
        <w:tc>
          <w:tcPr>
            <w:tcW w:w="0" w:type="auto"/>
            <w:vAlign w:val="center"/>
            <w:hideMark/>
          </w:tcPr>
          <w:p w14:paraId="3A4C13FD" w14:textId="77777777" w:rsidR="00B4508C" w:rsidRPr="00B4508C" w:rsidRDefault="00B4508C" w:rsidP="00B4508C">
            <w:r w:rsidRPr="00B4508C">
              <w:rPr>
                <w:b/>
                <w:bCs/>
              </w:rPr>
              <w:t>ca. 1,48%</w:t>
            </w:r>
            <w:r w:rsidRPr="00B4508C">
              <w:t xml:space="preserve"> (Triodos IM, 2025)</w:t>
            </w:r>
          </w:p>
        </w:tc>
      </w:tr>
      <w:tr w:rsidR="00B4508C" w:rsidRPr="00B4508C" w14:paraId="1C325F24" w14:textId="77777777" w:rsidTr="00B4508C">
        <w:trPr>
          <w:tblCellSpacing w:w="15" w:type="dxa"/>
        </w:trPr>
        <w:tc>
          <w:tcPr>
            <w:tcW w:w="0" w:type="auto"/>
            <w:vAlign w:val="center"/>
            <w:hideMark/>
          </w:tcPr>
          <w:p w14:paraId="226B1821" w14:textId="77777777" w:rsidR="00B4508C" w:rsidRPr="00B4508C" w:rsidRDefault="00B4508C" w:rsidP="00B4508C">
            <w:r w:rsidRPr="00B4508C">
              <w:rPr>
                <w:b/>
                <w:bCs/>
              </w:rPr>
              <w:t>Kostenimpact 10 jaar bij €10.000 inleg</w:t>
            </w:r>
            <w:r w:rsidRPr="00B4508C">
              <w:t>*</w:t>
            </w:r>
          </w:p>
        </w:tc>
        <w:tc>
          <w:tcPr>
            <w:tcW w:w="0" w:type="auto"/>
            <w:vAlign w:val="center"/>
            <w:hideMark/>
          </w:tcPr>
          <w:p w14:paraId="01898089" w14:textId="77777777" w:rsidR="00B4508C" w:rsidRPr="00B4508C" w:rsidRDefault="00B4508C" w:rsidP="00B4508C">
            <w:r w:rsidRPr="00B4508C">
              <w:rPr>
                <w:b/>
                <w:bCs/>
              </w:rPr>
              <w:t>ca. €200</w:t>
            </w:r>
          </w:p>
        </w:tc>
        <w:tc>
          <w:tcPr>
            <w:tcW w:w="0" w:type="auto"/>
            <w:vAlign w:val="center"/>
            <w:hideMark/>
          </w:tcPr>
          <w:p w14:paraId="1314B362" w14:textId="77777777" w:rsidR="00B4508C" w:rsidRPr="00B4508C" w:rsidRDefault="00B4508C" w:rsidP="00B4508C">
            <w:r w:rsidRPr="00B4508C">
              <w:rPr>
                <w:b/>
                <w:bCs/>
              </w:rPr>
              <w:t>ca. €1.480</w:t>
            </w:r>
          </w:p>
        </w:tc>
      </w:tr>
    </w:tbl>
    <w:p w14:paraId="5378B152" w14:textId="77777777" w:rsidR="00B4508C" w:rsidRPr="00B4508C" w:rsidRDefault="00B4508C" w:rsidP="00B4508C">
      <w:r w:rsidRPr="00B4508C">
        <w:t>* Berekening: TER × €10.000 × 10 jaar (indicatief, zonder rendementseffect).</w:t>
      </w:r>
    </w:p>
    <w:p w14:paraId="6B7BE021" w14:textId="77777777" w:rsidR="0078022F" w:rsidRDefault="0078022F" w:rsidP="0078022F"/>
    <w:p w14:paraId="35CE6637" w14:textId="77777777" w:rsidR="00162DCF" w:rsidRDefault="00162DCF" w:rsidP="00FA55E4">
      <w:pPr>
        <w:rPr>
          <w:i/>
          <w:iCs/>
        </w:rPr>
      </w:pPr>
    </w:p>
    <w:p w14:paraId="4ECC6D40" w14:textId="77777777" w:rsidR="00162DCF" w:rsidRDefault="00162DCF" w:rsidP="00FA55E4">
      <w:pPr>
        <w:rPr>
          <w:i/>
          <w:iCs/>
        </w:rPr>
      </w:pPr>
    </w:p>
    <w:p w14:paraId="686D3E31" w14:textId="77777777" w:rsidR="00162DCF" w:rsidRDefault="00162DCF" w:rsidP="00FA55E4">
      <w:pPr>
        <w:rPr>
          <w:i/>
          <w:iCs/>
        </w:rPr>
      </w:pPr>
    </w:p>
    <w:p w14:paraId="5C7CE480" w14:textId="77777777" w:rsidR="00162DCF" w:rsidRDefault="00162DCF" w:rsidP="00FA55E4">
      <w:pPr>
        <w:rPr>
          <w:i/>
          <w:iCs/>
        </w:rPr>
      </w:pPr>
    </w:p>
    <w:p w14:paraId="2760AF7C" w14:textId="77777777" w:rsidR="00162DCF" w:rsidRDefault="00162DCF" w:rsidP="00FA55E4">
      <w:pPr>
        <w:rPr>
          <w:i/>
          <w:iCs/>
        </w:rPr>
      </w:pPr>
    </w:p>
    <w:p w14:paraId="7892269B" w14:textId="77777777" w:rsidR="00162DCF" w:rsidRDefault="00162DCF" w:rsidP="00FA55E4">
      <w:pPr>
        <w:rPr>
          <w:i/>
          <w:iCs/>
        </w:rPr>
      </w:pPr>
    </w:p>
    <w:p w14:paraId="4137EC68" w14:textId="77777777" w:rsidR="00162DCF" w:rsidRDefault="00162DCF" w:rsidP="00FA55E4">
      <w:pPr>
        <w:rPr>
          <w:i/>
          <w:iCs/>
        </w:rPr>
      </w:pPr>
    </w:p>
    <w:p w14:paraId="4119CD49" w14:textId="77777777" w:rsidR="00162DCF" w:rsidRDefault="00162DCF" w:rsidP="00FA55E4">
      <w:pPr>
        <w:rPr>
          <w:i/>
          <w:iCs/>
        </w:rPr>
      </w:pPr>
    </w:p>
    <w:p w14:paraId="680B74ED" w14:textId="38EDB17F" w:rsidR="00FA55E4" w:rsidRPr="00E2516E" w:rsidRDefault="00162DCF" w:rsidP="00FA55E4">
      <w:pPr>
        <w:rPr>
          <w:b/>
          <w:bCs/>
        </w:rPr>
      </w:pPr>
      <w:r>
        <w:rPr>
          <w:i/>
          <w:iCs/>
        </w:rPr>
        <w:br/>
      </w:r>
      <w:r>
        <w:rPr>
          <w:i/>
          <w:iCs/>
        </w:rPr>
        <w:br/>
      </w:r>
      <w:r w:rsidR="0037523B">
        <w:br/>
      </w:r>
      <w:r w:rsidR="00776D15">
        <w:rPr>
          <w:b/>
          <w:bCs/>
        </w:rPr>
        <w:t xml:space="preserve">1. </w:t>
      </w:r>
      <w:r w:rsidR="00FA55E4" w:rsidRPr="0037523B">
        <w:rPr>
          <w:b/>
          <w:bCs/>
        </w:rPr>
        <w:t>Communicatie beleggingsstrategie (10%)</w:t>
      </w:r>
      <w:r w:rsidR="0026093F">
        <w:rPr>
          <w:b/>
          <w:bCs/>
        </w:rPr>
        <w:t>:</w:t>
      </w:r>
    </w:p>
    <w:p w14:paraId="1A91A60E" w14:textId="358DC996" w:rsidR="00FA55E4" w:rsidRPr="00FA55E4" w:rsidRDefault="00FA55E4" w:rsidP="00FA55E4">
      <w:proofErr w:type="spellStart"/>
      <w:r w:rsidRPr="0026093F">
        <w:rPr>
          <w:b/>
          <w:bCs/>
        </w:rPr>
        <w:t>iShares</w:t>
      </w:r>
      <w:proofErr w:type="spellEnd"/>
      <w:r w:rsidRPr="0026093F">
        <w:rPr>
          <w:b/>
          <w:bCs/>
        </w:rPr>
        <w:t xml:space="preserve"> </w:t>
      </w:r>
      <w:proofErr w:type="spellStart"/>
      <w:r w:rsidRPr="0026093F">
        <w:rPr>
          <w:b/>
          <w:bCs/>
        </w:rPr>
        <w:t>Core</w:t>
      </w:r>
      <w:proofErr w:type="spellEnd"/>
      <w:r w:rsidRPr="0026093F">
        <w:rPr>
          <w:b/>
          <w:bCs/>
        </w:rPr>
        <w:t xml:space="preserve"> MSCI World UCITS ETF</w:t>
      </w:r>
      <w:r w:rsidRPr="00FA55E4">
        <w:br/>
        <w:t xml:space="preserve">De strategie is helder: het fonds streeft ernaar de MSCI World Index (Net) zo nauwkeurig mogelijk te volgen via fysieke, geoptimaliseerde replicatie. Op de </w:t>
      </w:r>
      <w:proofErr w:type="spellStart"/>
      <w:r w:rsidRPr="00FA55E4">
        <w:t>factsheet</w:t>
      </w:r>
      <w:proofErr w:type="spellEnd"/>
      <w:r w:rsidRPr="00FA55E4">
        <w:t xml:space="preserve"> worden doelstelling, index, aantal posities, regioverdeling en risico-indicator kort maar duidelijk toegelicht (</w:t>
      </w:r>
      <w:proofErr w:type="spellStart"/>
      <w:r w:rsidRPr="00FA55E4">
        <w:t>BlackRock</w:t>
      </w:r>
      <w:proofErr w:type="spellEnd"/>
      <w:r w:rsidRPr="00FA55E4">
        <w:t xml:space="preserve">, 2025a). </w:t>
      </w:r>
      <w:r w:rsidRPr="00FA55E4">
        <w:br/>
        <w:t>De eenvoud van de indexbenadering maakt de beleggingsstrategie goed uitlegbaar voor brede klantgroepen.</w:t>
      </w:r>
    </w:p>
    <w:p w14:paraId="609C2786" w14:textId="77777777" w:rsidR="00FA55E4" w:rsidRPr="00FA55E4" w:rsidRDefault="00FA55E4" w:rsidP="00FA55E4">
      <w:r w:rsidRPr="0026093F">
        <w:rPr>
          <w:b/>
          <w:bCs/>
        </w:rPr>
        <w:t xml:space="preserve">Triodos Global </w:t>
      </w:r>
      <w:proofErr w:type="spellStart"/>
      <w:r w:rsidRPr="0026093F">
        <w:rPr>
          <w:b/>
          <w:bCs/>
        </w:rPr>
        <w:t>Equities</w:t>
      </w:r>
      <w:proofErr w:type="spellEnd"/>
      <w:r w:rsidRPr="0026093F">
        <w:rPr>
          <w:b/>
          <w:bCs/>
        </w:rPr>
        <w:t xml:space="preserve"> Impact Fund</w:t>
      </w:r>
      <w:r w:rsidRPr="00FA55E4">
        <w:br/>
        <w:t xml:space="preserve">Triodos beschrijft een </w:t>
      </w:r>
      <w:proofErr w:type="spellStart"/>
      <w:r w:rsidRPr="00FA55E4">
        <w:t>vierstaps</w:t>
      </w:r>
      <w:proofErr w:type="spellEnd"/>
      <w:r w:rsidRPr="00FA55E4">
        <w:t xml:space="preserve"> impactproces:</w:t>
      </w:r>
    </w:p>
    <w:p w14:paraId="61A5219C" w14:textId="77777777" w:rsidR="00FA55E4" w:rsidRPr="00FA55E4" w:rsidRDefault="00FA55E4" w:rsidP="00FA55E4">
      <w:pPr>
        <w:numPr>
          <w:ilvl w:val="0"/>
          <w:numId w:val="4"/>
        </w:numPr>
      </w:pPr>
      <w:r w:rsidRPr="00FA55E4">
        <w:t>positieve screening op bijdrage aan transities,</w:t>
      </w:r>
    </w:p>
    <w:p w14:paraId="17074706" w14:textId="77777777" w:rsidR="00FA55E4" w:rsidRPr="00FA55E4" w:rsidRDefault="00FA55E4" w:rsidP="00FA55E4">
      <w:pPr>
        <w:numPr>
          <w:ilvl w:val="0"/>
          <w:numId w:val="4"/>
        </w:numPr>
      </w:pPr>
      <w:r w:rsidRPr="00FA55E4">
        <w:t>uitsluitingscriteria en controverse-analyse,</w:t>
      </w:r>
    </w:p>
    <w:p w14:paraId="0D3C737F" w14:textId="77777777" w:rsidR="00FA55E4" w:rsidRPr="00FA55E4" w:rsidRDefault="00FA55E4" w:rsidP="00FA55E4">
      <w:pPr>
        <w:numPr>
          <w:ilvl w:val="0"/>
          <w:numId w:val="4"/>
        </w:numPr>
      </w:pPr>
      <w:r w:rsidRPr="00FA55E4">
        <w:t>geïntegreerde ESG- en financiële analyse,</w:t>
      </w:r>
    </w:p>
    <w:p w14:paraId="63277918" w14:textId="680E21BE" w:rsidR="00FA55E4" w:rsidRPr="00FA55E4" w:rsidRDefault="00FA55E4" w:rsidP="00FA55E4">
      <w:pPr>
        <w:numPr>
          <w:ilvl w:val="0"/>
          <w:numId w:val="4"/>
        </w:numPr>
      </w:pPr>
      <w:r w:rsidRPr="00FA55E4">
        <w:t>actief aandeelhouderschap (stemmen en engagement).</w:t>
      </w:r>
      <w:r w:rsidRPr="00FA55E4">
        <w:br/>
        <w:t>Het fonds heeft als doel duurzame beleggingen in de zin van SFDR artikel 9 en investeert alleen in bedrijven die aan strikte duurzaamheidscriteria voldoen (Triodos IM, 2025a; Triodos Bank, 2025b).</w:t>
      </w:r>
    </w:p>
    <w:p w14:paraId="7C5D8321" w14:textId="77777777" w:rsidR="00FA55E4" w:rsidRPr="00FA55E4" w:rsidRDefault="00FA55E4" w:rsidP="00FA55E4">
      <w:r w:rsidRPr="0026093F">
        <w:rPr>
          <w:b/>
          <w:bCs/>
        </w:rPr>
        <w:t>Beoordeling:</w:t>
      </w:r>
      <w:r w:rsidRPr="00FA55E4">
        <w:br/>
        <w:t xml:space="preserve">Beide fondsen communiceren de strategie transparant. De </w:t>
      </w:r>
      <w:proofErr w:type="spellStart"/>
      <w:r w:rsidRPr="00FA55E4">
        <w:t>iShares</w:t>
      </w:r>
      <w:proofErr w:type="spellEnd"/>
      <w:r w:rsidRPr="00FA55E4">
        <w:t xml:space="preserve">-ETF scoort op eenvoud en begrijpelijkheid, terwijl Triodos uitblinkt in diepgang en detail. Voor een beslissingsmatrix kan dit criterium licht in het voordeel van </w:t>
      </w:r>
      <w:proofErr w:type="spellStart"/>
      <w:r w:rsidRPr="00FA55E4">
        <w:t>iShares</w:t>
      </w:r>
      <w:proofErr w:type="spellEnd"/>
      <w:r w:rsidRPr="00FA55E4">
        <w:t xml:space="preserve"> worden beoordeeld qua begrijpelijkheid, of neutraal als de nadruk ligt op inhoudelijke ESG-toelichting.</w:t>
      </w:r>
    </w:p>
    <w:p w14:paraId="2A7C7B08" w14:textId="03AEB5E7" w:rsidR="00FA55E4" w:rsidRDefault="00FA55E4" w:rsidP="00FA55E4"/>
    <w:p w14:paraId="5055050D" w14:textId="77777777" w:rsidR="0026093F" w:rsidRDefault="0026093F" w:rsidP="00FA55E4"/>
    <w:p w14:paraId="371F2DC0" w14:textId="77777777" w:rsidR="0026093F" w:rsidRDefault="0026093F" w:rsidP="00FA55E4"/>
    <w:p w14:paraId="02005387" w14:textId="77777777" w:rsidR="0026093F" w:rsidRDefault="0026093F" w:rsidP="00FA55E4"/>
    <w:p w14:paraId="162FBE47" w14:textId="77777777" w:rsidR="0026093F" w:rsidRDefault="0026093F" w:rsidP="00FA55E4"/>
    <w:p w14:paraId="58269BC0" w14:textId="77777777" w:rsidR="0026093F" w:rsidRDefault="0026093F" w:rsidP="00FA55E4"/>
    <w:p w14:paraId="6BB6DE4E" w14:textId="77777777" w:rsidR="00162DCF" w:rsidRDefault="00162DCF" w:rsidP="00FA55E4"/>
    <w:p w14:paraId="505564AD" w14:textId="77777777" w:rsidR="00162DCF" w:rsidRDefault="00162DCF" w:rsidP="00FA55E4"/>
    <w:p w14:paraId="75C8295A" w14:textId="77777777" w:rsidR="00162DCF" w:rsidRDefault="00162DCF" w:rsidP="00FA55E4"/>
    <w:p w14:paraId="06C8386C" w14:textId="77777777" w:rsidR="0026093F" w:rsidRPr="00FA55E4" w:rsidRDefault="0026093F" w:rsidP="00FA55E4"/>
    <w:p w14:paraId="0488A712" w14:textId="66B7D67B" w:rsidR="00FA55E4" w:rsidRPr="0026093F" w:rsidRDefault="00776D15" w:rsidP="00FA55E4">
      <w:pPr>
        <w:rPr>
          <w:b/>
          <w:bCs/>
        </w:rPr>
      </w:pPr>
      <w:r>
        <w:rPr>
          <w:b/>
          <w:bCs/>
        </w:rPr>
        <w:t xml:space="preserve">2. </w:t>
      </w:r>
      <w:r w:rsidR="00FA55E4" w:rsidRPr="0026093F">
        <w:rPr>
          <w:b/>
          <w:bCs/>
        </w:rPr>
        <w:t>Historische risico/rendementsverhouding (25%)</w:t>
      </w:r>
      <w:r w:rsidR="0026093F">
        <w:rPr>
          <w:b/>
          <w:bCs/>
        </w:rPr>
        <w:t>:</w:t>
      </w:r>
    </w:p>
    <w:p w14:paraId="097E03C2" w14:textId="2FBD2BC1" w:rsidR="00FA55E4" w:rsidRPr="00FA55E4" w:rsidRDefault="00FA55E4" w:rsidP="00FA55E4">
      <w:proofErr w:type="spellStart"/>
      <w:r w:rsidRPr="0026093F">
        <w:rPr>
          <w:b/>
          <w:bCs/>
        </w:rPr>
        <w:t>iShares</w:t>
      </w:r>
      <w:proofErr w:type="spellEnd"/>
      <w:r w:rsidRPr="0026093F">
        <w:rPr>
          <w:b/>
          <w:bCs/>
        </w:rPr>
        <w:t xml:space="preserve"> </w:t>
      </w:r>
      <w:proofErr w:type="spellStart"/>
      <w:r w:rsidRPr="0026093F">
        <w:rPr>
          <w:b/>
          <w:bCs/>
        </w:rPr>
        <w:t>Core</w:t>
      </w:r>
      <w:proofErr w:type="spellEnd"/>
      <w:r w:rsidRPr="0026093F">
        <w:rPr>
          <w:b/>
          <w:bCs/>
        </w:rPr>
        <w:t xml:space="preserve"> MSCI World UCITS ETF</w:t>
      </w:r>
      <w:r w:rsidRPr="00FA55E4">
        <w:br/>
      </w:r>
      <w:r w:rsidR="005065BE" w:rsidRPr="005065BE">
        <w:t>De ETF behaalde over de afgelopen vijf jaar een gemiddeld rendement van circa 12–13% per jaar, wat in lijn ligt met de prestatie van de wereldwijde aandelenmarkt (</w:t>
      </w:r>
      <w:proofErr w:type="spellStart"/>
      <w:r w:rsidR="005065BE" w:rsidRPr="005065BE">
        <w:t>Fidelity</w:t>
      </w:r>
      <w:proofErr w:type="spellEnd"/>
      <w:r w:rsidR="005065BE" w:rsidRPr="005065BE">
        <w:t>/</w:t>
      </w:r>
      <w:proofErr w:type="spellStart"/>
      <w:r w:rsidR="005065BE" w:rsidRPr="005065BE">
        <w:t>Morningstar</w:t>
      </w:r>
      <w:proofErr w:type="spellEnd"/>
      <w:r w:rsidR="005065BE" w:rsidRPr="005065BE">
        <w:t>, 2025). De volatiliteit bedraagt ongeveer 14–15%, passend bij een wereldwijd aandelenfonds. Hierdoor blijft de risico/rendementsverhouding solide en goed uitlegbaar voor particuliere beleggers.</w:t>
      </w:r>
    </w:p>
    <w:p w14:paraId="4262CF04" w14:textId="23DCD20F" w:rsidR="00FA55E4" w:rsidRPr="00FA55E4" w:rsidRDefault="00FA55E4" w:rsidP="00FA55E4">
      <w:r w:rsidRPr="0026093F">
        <w:rPr>
          <w:b/>
          <w:bCs/>
        </w:rPr>
        <w:t xml:space="preserve">Triodos Global </w:t>
      </w:r>
      <w:proofErr w:type="spellStart"/>
      <w:r w:rsidRPr="0026093F">
        <w:rPr>
          <w:b/>
          <w:bCs/>
        </w:rPr>
        <w:t>Equities</w:t>
      </w:r>
      <w:proofErr w:type="spellEnd"/>
      <w:r w:rsidRPr="0026093F">
        <w:rPr>
          <w:b/>
          <w:bCs/>
        </w:rPr>
        <w:t xml:space="preserve"> Impact Fund</w:t>
      </w:r>
      <w:r w:rsidRPr="00FA55E4">
        <w:br/>
        <w:t xml:space="preserve">Triodos rapporteert op de Nederlandse productpagina een gemiddeld rendement van 7,20% per jaar over de laatste 5 jaar (per 31-10-2025), met een risicometer die als “vrij groot” wordt omschreven (Triodos Bank, 2025b). </w:t>
      </w:r>
      <w:r w:rsidRPr="00FA55E4">
        <w:br/>
        <w:t xml:space="preserve">In de rendements-overzichten van Triodos wordt een 5-jaarsgemiddelde tussen 6–7% per jaar bevestigd en een risicoklasse 3 van 7 vermeld (Triodos Bank, 2025c). </w:t>
      </w:r>
    </w:p>
    <w:p w14:paraId="63ACA65D" w14:textId="77777777" w:rsidR="00FA55E4" w:rsidRPr="00FA55E4" w:rsidRDefault="00FA55E4" w:rsidP="00FA55E4">
      <w:r w:rsidRPr="0026093F">
        <w:rPr>
          <w:b/>
          <w:bCs/>
        </w:rPr>
        <w:t>Beoordeling:</w:t>
      </w:r>
      <w:r w:rsidRPr="00FA55E4">
        <w:br/>
        <w:t xml:space="preserve">De </w:t>
      </w:r>
      <w:proofErr w:type="spellStart"/>
      <w:r w:rsidRPr="00FA55E4">
        <w:t>iShares</w:t>
      </w:r>
      <w:proofErr w:type="spellEnd"/>
      <w:r w:rsidRPr="00FA55E4">
        <w:t xml:space="preserve">-ETF laat historisch duidelijk hogere rendementen zien dan het Triodos-fonds, bij een vergelijkbaar aandelenrisico. De risico/rendementsverhouding van </w:t>
      </w:r>
      <w:proofErr w:type="spellStart"/>
      <w:r w:rsidRPr="00FA55E4">
        <w:t>iShares</w:t>
      </w:r>
      <w:proofErr w:type="spellEnd"/>
      <w:r w:rsidRPr="00FA55E4">
        <w:t xml:space="preserve"> is hierdoor aantoonbaar efficiënter. Op criterium 2 verdient </w:t>
      </w:r>
      <w:proofErr w:type="spellStart"/>
      <w:r w:rsidRPr="00FA55E4">
        <w:t>iShares</w:t>
      </w:r>
      <w:proofErr w:type="spellEnd"/>
      <w:r w:rsidRPr="00FA55E4">
        <w:t xml:space="preserve"> </w:t>
      </w:r>
      <w:proofErr w:type="spellStart"/>
      <w:r w:rsidRPr="00FA55E4">
        <w:t>Core</w:t>
      </w:r>
      <w:proofErr w:type="spellEnd"/>
      <w:r w:rsidRPr="00FA55E4">
        <w:t xml:space="preserve"> MSCI World een aanzienlijk hogere score.</w:t>
      </w:r>
    </w:p>
    <w:p w14:paraId="71773CC9" w14:textId="69733E32" w:rsidR="00FA55E4" w:rsidRPr="00FA55E4" w:rsidRDefault="00FA55E4" w:rsidP="00FA55E4"/>
    <w:p w14:paraId="0663E6A8" w14:textId="4B2EDC10" w:rsidR="00FA55E4" w:rsidRPr="0026093F" w:rsidRDefault="00776D15" w:rsidP="00FA55E4">
      <w:pPr>
        <w:rPr>
          <w:b/>
          <w:bCs/>
        </w:rPr>
      </w:pPr>
      <w:r>
        <w:rPr>
          <w:b/>
          <w:bCs/>
        </w:rPr>
        <w:t xml:space="preserve">3. </w:t>
      </w:r>
      <w:r w:rsidR="00FA55E4" w:rsidRPr="0026093F">
        <w:rPr>
          <w:b/>
          <w:bCs/>
        </w:rPr>
        <w:t>Kosten (15%)</w:t>
      </w:r>
      <w:r w:rsidR="0026093F">
        <w:rPr>
          <w:b/>
          <w:bCs/>
        </w:rPr>
        <w:t>:</w:t>
      </w:r>
    </w:p>
    <w:p w14:paraId="4194636B" w14:textId="49164E04" w:rsidR="00FA55E4" w:rsidRPr="00FA55E4" w:rsidRDefault="00FA55E4" w:rsidP="00FA55E4">
      <w:proofErr w:type="spellStart"/>
      <w:r w:rsidRPr="0026093F">
        <w:rPr>
          <w:b/>
          <w:bCs/>
        </w:rPr>
        <w:t>iShares</w:t>
      </w:r>
      <w:proofErr w:type="spellEnd"/>
      <w:r w:rsidRPr="0026093F">
        <w:rPr>
          <w:b/>
          <w:bCs/>
        </w:rPr>
        <w:t xml:space="preserve"> </w:t>
      </w:r>
      <w:proofErr w:type="spellStart"/>
      <w:r w:rsidRPr="0026093F">
        <w:rPr>
          <w:b/>
          <w:bCs/>
        </w:rPr>
        <w:t>Core</w:t>
      </w:r>
      <w:proofErr w:type="spellEnd"/>
      <w:r w:rsidRPr="0026093F">
        <w:rPr>
          <w:b/>
          <w:bCs/>
        </w:rPr>
        <w:t xml:space="preserve"> MSCI World UCITS ETF</w:t>
      </w:r>
      <w:r w:rsidRPr="00FA55E4">
        <w:br/>
        <w:t xml:space="preserve">De Total </w:t>
      </w:r>
      <w:proofErr w:type="spellStart"/>
      <w:r w:rsidRPr="00FA55E4">
        <w:t>Expense</w:t>
      </w:r>
      <w:proofErr w:type="spellEnd"/>
      <w:r w:rsidRPr="00FA55E4">
        <w:t xml:space="preserve"> Ratio (TER) bedraagt 0,20% per jaar (</w:t>
      </w:r>
      <w:proofErr w:type="spellStart"/>
      <w:r w:rsidRPr="00FA55E4">
        <w:t>BlackRock</w:t>
      </w:r>
      <w:proofErr w:type="spellEnd"/>
      <w:r w:rsidRPr="00FA55E4">
        <w:t xml:space="preserve">, 2025a). </w:t>
      </w:r>
    </w:p>
    <w:p w14:paraId="74B6D609" w14:textId="77BBCB8A" w:rsidR="00FA55E4" w:rsidRPr="00FA55E4" w:rsidRDefault="00FA55E4" w:rsidP="00FA55E4">
      <w:r w:rsidRPr="0026093F">
        <w:rPr>
          <w:b/>
          <w:bCs/>
        </w:rPr>
        <w:t xml:space="preserve">Triodos Global </w:t>
      </w:r>
      <w:proofErr w:type="spellStart"/>
      <w:r w:rsidRPr="0026093F">
        <w:rPr>
          <w:b/>
          <w:bCs/>
        </w:rPr>
        <w:t>Equities</w:t>
      </w:r>
      <w:proofErr w:type="spellEnd"/>
      <w:r w:rsidRPr="0026093F">
        <w:rPr>
          <w:b/>
          <w:bCs/>
        </w:rPr>
        <w:t xml:space="preserve"> Impact Fund</w:t>
      </w:r>
      <w:r w:rsidRPr="00FA55E4">
        <w:br/>
        <w:t xml:space="preserve">Volgens Triodos bedragen de fondskosten 1,00% per jaar, plus 0,48% servicekosten voor beleggers via Triodos Bank, waardoor de totale jaarlijkse kosten rond 1,48% liggen (Triodos Bank, 2025b). Externe bronnen zoals Testaankoop </w:t>
      </w:r>
      <w:proofErr w:type="spellStart"/>
      <w:r w:rsidRPr="00FA55E4">
        <w:t>Invest</w:t>
      </w:r>
      <w:proofErr w:type="spellEnd"/>
      <w:r w:rsidRPr="00FA55E4">
        <w:t xml:space="preserve"> noemen een TER van circa 1,65% voor de R-klasse (Testaankoop, 2025). </w:t>
      </w:r>
    </w:p>
    <w:p w14:paraId="253E1321" w14:textId="77777777" w:rsidR="00FA55E4" w:rsidRPr="00FA55E4" w:rsidRDefault="00FA55E4" w:rsidP="00FA55E4">
      <w:r w:rsidRPr="0026093F">
        <w:rPr>
          <w:b/>
          <w:bCs/>
        </w:rPr>
        <w:t>Beoordeling:</w:t>
      </w:r>
      <w:r w:rsidRPr="00FA55E4">
        <w:br/>
        <w:t xml:space="preserve">Het kostenverschil tussen beide fondsen is zeer groot (ongeveer 1,3 à 1,5 procentpunt per jaar). Bij lange looptijden heeft dit een sterk negatief effect op het netto rendement van het Triodos-fonds. Op criterium 3 scoort </w:t>
      </w:r>
      <w:proofErr w:type="spellStart"/>
      <w:r w:rsidRPr="00FA55E4">
        <w:t>iShares</w:t>
      </w:r>
      <w:proofErr w:type="spellEnd"/>
      <w:r w:rsidRPr="00FA55E4">
        <w:t xml:space="preserve"> </w:t>
      </w:r>
      <w:proofErr w:type="spellStart"/>
      <w:r w:rsidRPr="00FA55E4">
        <w:t>Core</w:t>
      </w:r>
      <w:proofErr w:type="spellEnd"/>
      <w:r w:rsidRPr="00FA55E4">
        <w:t xml:space="preserve"> MSCI World duidelijk het hoogst.</w:t>
      </w:r>
    </w:p>
    <w:p w14:paraId="59709634" w14:textId="7A7C670A" w:rsidR="00FA55E4" w:rsidRDefault="00FA55E4" w:rsidP="00FA55E4"/>
    <w:p w14:paraId="70510486" w14:textId="77777777" w:rsidR="0026093F" w:rsidRPr="00FA55E4" w:rsidRDefault="0026093F" w:rsidP="00FA55E4"/>
    <w:p w14:paraId="4F3F3217" w14:textId="1BE0B597" w:rsidR="00FA55E4" w:rsidRPr="0026093F" w:rsidRDefault="00776D15" w:rsidP="00FA55E4">
      <w:pPr>
        <w:rPr>
          <w:b/>
          <w:bCs/>
        </w:rPr>
      </w:pPr>
      <w:r>
        <w:rPr>
          <w:b/>
          <w:bCs/>
        </w:rPr>
        <w:t xml:space="preserve">4. </w:t>
      </w:r>
      <w:r w:rsidR="00FA55E4" w:rsidRPr="0026093F">
        <w:rPr>
          <w:b/>
          <w:bCs/>
        </w:rPr>
        <w:t>Aansluiting bij strategie adviesbureau (duurzaamheidsbeleid, besluitvormingscriteria, striktheid) (30%)</w:t>
      </w:r>
      <w:r>
        <w:rPr>
          <w:b/>
          <w:bCs/>
        </w:rPr>
        <w:t>:</w:t>
      </w:r>
    </w:p>
    <w:p w14:paraId="46717718" w14:textId="25B7175C" w:rsidR="00FA55E4" w:rsidRPr="00FA55E4" w:rsidRDefault="00FA55E4" w:rsidP="00FA55E4">
      <w:proofErr w:type="spellStart"/>
      <w:r w:rsidRPr="00776D15">
        <w:rPr>
          <w:b/>
          <w:bCs/>
        </w:rPr>
        <w:t>iShares</w:t>
      </w:r>
      <w:proofErr w:type="spellEnd"/>
      <w:r w:rsidRPr="00776D15">
        <w:rPr>
          <w:b/>
          <w:bCs/>
        </w:rPr>
        <w:t xml:space="preserve"> </w:t>
      </w:r>
      <w:proofErr w:type="spellStart"/>
      <w:r w:rsidRPr="00776D15">
        <w:rPr>
          <w:b/>
          <w:bCs/>
        </w:rPr>
        <w:t>Core</w:t>
      </w:r>
      <w:proofErr w:type="spellEnd"/>
      <w:r w:rsidRPr="00776D15">
        <w:rPr>
          <w:b/>
          <w:bCs/>
        </w:rPr>
        <w:t xml:space="preserve"> MSCI World UCITS ETF</w:t>
      </w:r>
      <w:r w:rsidRPr="00FA55E4">
        <w:br/>
        <w:t>De ETF heeft geen expliciete ESG- of impactdoelstelling; het volgt de standaard MSCI World Index zonder duurzame screening (</w:t>
      </w:r>
      <w:proofErr w:type="spellStart"/>
      <w:r w:rsidRPr="00FA55E4">
        <w:t>BlackRock</w:t>
      </w:r>
      <w:proofErr w:type="spellEnd"/>
      <w:r w:rsidRPr="00FA55E4">
        <w:t>, 2025a).</w:t>
      </w:r>
      <w:r w:rsidRPr="00FA55E4">
        <w:br/>
        <w:t xml:space="preserve">Voor </w:t>
      </w:r>
      <w:proofErr w:type="spellStart"/>
      <w:r w:rsidRPr="00FA55E4">
        <w:t>Vermogenthuis</w:t>
      </w:r>
      <w:proofErr w:type="spellEnd"/>
      <w:r w:rsidRPr="00FA55E4">
        <w:t xml:space="preserve"> betekent dit: financieel zeer efficiënt en goed inzetbaar in fiscale structuren (box 3, pensioenbeleggen, BV), maar beperkte directe aansluiting bij een expliciete duurzame positionering.</w:t>
      </w:r>
    </w:p>
    <w:p w14:paraId="09F2AC4A" w14:textId="544000BC" w:rsidR="00FA55E4" w:rsidRPr="00FA55E4" w:rsidRDefault="00FA55E4" w:rsidP="00FA55E4">
      <w:r w:rsidRPr="00776D15">
        <w:rPr>
          <w:b/>
          <w:bCs/>
        </w:rPr>
        <w:t xml:space="preserve">Triodos Global </w:t>
      </w:r>
      <w:proofErr w:type="spellStart"/>
      <w:r w:rsidRPr="00776D15">
        <w:rPr>
          <w:b/>
          <w:bCs/>
        </w:rPr>
        <w:t>Equities</w:t>
      </w:r>
      <w:proofErr w:type="spellEnd"/>
      <w:r w:rsidRPr="00776D15">
        <w:rPr>
          <w:b/>
          <w:bCs/>
        </w:rPr>
        <w:t xml:space="preserve"> Impact Fund</w:t>
      </w:r>
      <w:r w:rsidRPr="00FA55E4">
        <w:br/>
        <w:t xml:space="preserve">Dit fonds is volgens Triodos een impactfonds onder SFDR artikel 9. Alleen ondernemingen die bijdragen aan ten minste één van de vijf transities komen in aanmerking, na een strenge toets op uitsluitingscriteria, ESG-controverses en </w:t>
      </w:r>
      <w:proofErr w:type="spellStart"/>
      <w:r w:rsidRPr="00FA55E4">
        <w:t>governance</w:t>
      </w:r>
      <w:proofErr w:type="spellEnd"/>
      <w:r w:rsidRPr="00FA55E4">
        <w:t xml:space="preserve"> (Triodos IM, 2025a; Triodos Bank, 2025b).</w:t>
      </w:r>
      <w:r w:rsidRPr="00FA55E4">
        <w:br/>
        <w:t>Besluitvorming omvat positieve screening (themabelegging), uitsluitingen en actief stem- en engagementbeleid. De striktheid blijkt uit het feit dat een groot deel van de benchmarkbedrijven afvalt op duurzaamheid.</w:t>
      </w:r>
    </w:p>
    <w:p w14:paraId="3DC83AD2" w14:textId="77777777" w:rsidR="00FA55E4" w:rsidRPr="00FA55E4" w:rsidRDefault="00FA55E4" w:rsidP="00FA55E4">
      <w:r w:rsidRPr="00776D15">
        <w:rPr>
          <w:b/>
          <w:bCs/>
        </w:rPr>
        <w:t>Beoordeling:</w:t>
      </w:r>
      <w:r w:rsidRPr="00FA55E4">
        <w:br/>
        <w:t xml:space="preserve">Vanuit de duurzaamheidsstrategie van </w:t>
      </w:r>
      <w:proofErr w:type="spellStart"/>
      <w:r w:rsidRPr="00FA55E4">
        <w:t>Vermogenthuis</w:t>
      </w:r>
      <w:proofErr w:type="spellEnd"/>
      <w:r w:rsidRPr="00FA55E4">
        <w:t xml:space="preserve"> scoort Triodos Global </w:t>
      </w:r>
      <w:proofErr w:type="spellStart"/>
      <w:r w:rsidRPr="00FA55E4">
        <w:t>Equities</w:t>
      </w:r>
      <w:proofErr w:type="spellEnd"/>
      <w:r w:rsidRPr="00FA55E4">
        <w:t xml:space="preserve"> Impact Fund beduidend hoger dan </w:t>
      </w:r>
      <w:proofErr w:type="spellStart"/>
      <w:r w:rsidRPr="00FA55E4">
        <w:t>iShares</w:t>
      </w:r>
      <w:proofErr w:type="spellEnd"/>
      <w:r w:rsidRPr="00FA55E4">
        <w:t xml:space="preserve"> </w:t>
      </w:r>
      <w:proofErr w:type="spellStart"/>
      <w:r w:rsidRPr="00FA55E4">
        <w:t>Core</w:t>
      </w:r>
      <w:proofErr w:type="spellEnd"/>
      <w:r w:rsidRPr="00FA55E4">
        <w:t xml:space="preserve"> MSCI World. Op criterium 4 hoort Triodos dus de hoogste score te krijgen.</w:t>
      </w:r>
    </w:p>
    <w:p w14:paraId="45855D03" w14:textId="36690995" w:rsidR="00FA55E4" w:rsidRPr="00FA55E4" w:rsidRDefault="00FA55E4" w:rsidP="00FA55E4"/>
    <w:p w14:paraId="284E03F3" w14:textId="743E032B" w:rsidR="00FA55E4" w:rsidRPr="00776D15" w:rsidRDefault="00776D15" w:rsidP="00FA55E4">
      <w:pPr>
        <w:rPr>
          <w:b/>
          <w:bCs/>
        </w:rPr>
      </w:pPr>
      <w:r>
        <w:rPr>
          <w:b/>
          <w:bCs/>
        </w:rPr>
        <w:t xml:space="preserve">5. </w:t>
      </w:r>
      <w:r w:rsidR="00FA55E4" w:rsidRPr="00776D15">
        <w:rPr>
          <w:b/>
          <w:bCs/>
        </w:rPr>
        <w:t>Klimaatrisico’s (10%)</w:t>
      </w:r>
      <w:r>
        <w:rPr>
          <w:b/>
          <w:bCs/>
        </w:rPr>
        <w:t>:</w:t>
      </w:r>
    </w:p>
    <w:p w14:paraId="53FA3C2C" w14:textId="17608EF3" w:rsidR="00FA55E4" w:rsidRPr="00FA55E4" w:rsidRDefault="00FA55E4" w:rsidP="00FA55E4">
      <w:proofErr w:type="spellStart"/>
      <w:r w:rsidRPr="00776D15">
        <w:rPr>
          <w:b/>
          <w:bCs/>
        </w:rPr>
        <w:t>iShares</w:t>
      </w:r>
      <w:proofErr w:type="spellEnd"/>
      <w:r w:rsidRPr="00776D15">
        <w:rPr>
          <w:b/>
          <w:bCs/>
        </w:rPr>
        <w:t xml:space="preserve"> </w:t>
      </w:r>
      <w:proofErr w:type="spellStart"/>
      <w:r w:rsidRPr="00776D15">
        <w:rPr>
          <w:b/>
          <w:bCs/>
        </w:rPr>
        <w:t>Core</w:t>
      </w:r>
      <w:proofErr w:type="spellEnd"/>
      <w:r w:rsidRPr="00776D15">
        <w:rPr>
          <w:b/>
          <w:bCs/>
        </w:rPr>
        <w:t xml:space="preserve"> MSCI World UCITS ETF</w:t>
      </w:r>
      <w:r w:rsidRPr="00776D15">
        <w:rPr>
          <w:b/>
          <w:bCs/>
        </w:rPr>
        <w:br/>
      </w:r>
      <w:proofErr w:type="spellStart"/>
      <w:r w:rsidRPr="00FA55E4">
        <w:t>BlackRock</w:t>
      </w:r>
      <w:proofErr w:type="spellEnd"/>
      <w:r w:rsidRPr="00FA55E4">
        <w:t xml:space="preserve"> rapporteert standaard risicometers, sector- en landenverdeling. Specifieke klimaat-indicatoren (zoals CO₂-voetafdruk) worden minder prominent gepresenteerd en er is geen klimaatdoelstelling gekoppeld aan het fonds (</w:t>
      </w:r>
      <w:proofErr w:type="spellStart"/>
      <w:r w:rsidRPr="00FA55E4">
        <w:t>BlackRock</w:t>
      </w:r>
      <w:proofErr w:type="spellEnd"/>
      <w:r w:rsidRPr="00FA55E4">
        <w:t xml:space="preserve">, 2025a). </w:t>
      </w:r>
    </w:p>
    <w:p w14:paraId="41E334FB" w14:textId="6E58C582" w:rsidR="00FA55E4" w:rsidRPr="00FA55E4" w:rsidRDefault="00FA55E4" w:rsidP="00FA55E4">
      <w:r w:rsidRPr="00776D15">
        <w:rPr>
          <w:b/>
          <w:bCs/>
        </w:rPr>
        <w:t xml:space="preserve">Triodos Global </w:t>
      </w:r>
      <w:proofErr w:type="spellStart"/>
      <w:r w:rsidRPr="00776D15">
        <w:rPr>
          <w:b/>
          <w:bCs/>
        </w:rPr>
        <w:t>Equities</w:t>
      </w:r>
      <w:proofErr w:type="spellEnd"/>
      <w:r w:rsidRPr="00776D15">
        <w:rPr>
          <w:b/>
          <w:bCs/>
        </w:rPr>
        <w:t xml:space="preserve"> Impact Fund</w:t>
      </w:r>
      <w:r w:rsidRPr="00776D15">
        <w:rPr>
          <w:b/>
          <w:bCs/>
        </w:rPr>
        <w:br/>
      </w:r>
      <w:r w:rsidRPr="00FA55E4">
        <w:t xml:space="preserve">Triodos publiceert impactrapportages waarin o.a. CO₂-reductie en bijdrage aan energietransitie van de portefeuillebedrijven worden toegelicht. Klimaatrisico’s maken expliciet onderdeel uit van de selectie- en engagementstrategie (Triodos IM, 2025a; Triodos Bank, 2025c). </w:t>
      </w:r>
    </w:p>
    <w:p w14:paraId="44746896" w14:textId="77777777" w:rsidR="00FA55E4" w:rsidRPr="00FA55E4" w:rsidRDefault="00FA55E4" w:rsidP="00FA55E4">
      <w:r w:rsidRPr="000273A3">
        <w:rPr>
          <w:b/>
          <w:bCs/>
        </w:rPr>
        <w:t>Beoordeling:</w:t>
      </w:r>
      <w:r w:rsidRPr="00FA55E4">
        <w:br/>
        <w:t>Op criterium 5 scoort Triodos duidelijk beter door de combinatie van expliciet klimaatbeleid en transparante rapportage.</w:t>
      </w:r>
    </w:p>
    <w:p w14:paraId="40DD0F72" w14:textId="0084B213" w:rsidR="00FA55E4" w:rsidRDefault="00FA55E4" w:rsidP="00FA55E4"/>
    <w:p w14:paraId="6B3D0341" w14:textId="77777777" w:rsidR="000273A3" w:rsidRPr="00FA55E4" w:rsidRDefault="000273A3" w:rsidP="00FA55E4"/>
    <w:p w14:paraId="7BA650CB" w14:textId="31168FB9" w:rsidR="00FA55E4" w:rsidRPr="000273A3" w:rsidRDefault="00FA55E4" w:rsidP="00FA55E4">
      <w:pPr>
        <w:rPr>
          <w:b/>
          <w:bCs/>
        </w:rPr>
      </w:pPr>
      <w:r w:rsidRPr="000273A3">
        <w:rPr>
          <w:b/>
          <w:bCs/>
        </w:rPr>
        <w:t>6</w:t>
      </w:r>
      <w:r w:rsidR="000273A3" w:rsidRPr="000273A3">
        <w:rPr>
          <w:b/>
          <w:bCs/>
        </w:rPr>
        <w:t xml:space="preserve">. </w:t>
      </w:r>
      <w:r w:rsidRPr="000273A3">
        <w:rPr>
          <w:b/>
          <w:bCs/>
        </w:rPr>
        <w:t>Klantcommunicatie (duurzaamheidskwesties) (10%)</w:t>
      </w:r>
      <w:r w:rsidR="000273A3">
        <w:rPr>
          <w:b/>
          <w:bCs/>
        </w:rPr>
        <w:t>:</w:t>
      </w:r>
    </w:p>
    <w:p w14:paraId="3676676B" w14:textId="499483B9" w:rsidR="00FA55E4" w:rsidRPr="00FA55E4" w:rsidRDefault="00FA55E4" w:rsidP="00FA55E4">
      <w:proofErr w:type="spellStart"/>
      <w:r w:rsidRPr="000273A3">
        <w:rPr>
          <w:b/>
          <w:bCs/>
        </w:rPr>
        <w:t>iShares</w:t>
      </w:r>
      <w:proofErr w:type="spellEnd"/>
      <w:r w:rsidRPr="000273A3">
        <w:rPr>
          <w:b/>
          <w:bCs/>
        </w:rPr>
        <w:t xml:space="preserve"> </w:t>
      </w:r>
      <w:proofErr w:type="spellStart"/>
      <w:r w:rsidRPr="000273A3">
        <w:rPr>
          <w:b/>
          <w:bCs/>
        </w:rPr>
        <w:t>Core</w:t>
      </w:r>
      <w:proofErr w:type="spellEnd"/>
      <w:r w:rsidRPr="000273A3">
        <w:rPr>
          <w:b/>
          <w:bCs/>
        </w:rPr>
        <w:t xml:space="preserve"> MSCI World UCITS ETF</w:t>
      </w:r>
      <w:r w:rsidRPr="00FA55E4">
        <w:br/>
      </w:r>
      <w:proofErr w:type="spellStart"/>
      <w:r w:rsidRPr="00FA55E4">
        <w:t>Factsheets</w:t>
      </w:r>
      <w:proofErr w:type="spellEnd"/>
      <w:r w:rsidRPr="00FA55E4">
        <w:t>, KID en productpagina zijn overzichtelijk, maar de focus ligt op financiële kenmerken (rendement, risico, index); duurzaamheid wordt niet als hoofdthema gepresenteerd (</w:t>
      </w:r>
      <w:proofErr w:type="spellStart"/>
      <w:r w:rsidRPr="00FA55E4">
        <w:t>BlackRock</w:t>
      </w:r>
      <w:proofErr w:type="spellEnd"/>
      <w:r w:rsidRPr="00FA55E4">
        <w:t xml:space="preserve">, 2025a). </w:t>
      </w:r>
    </w:p>
    <w:p w14:paraId="776A4E75" w14:textId="618E300A" w:rsidR="00FA55E4" w:rsidRPr="00FA55E4" w:rsidRDefault="00FA55E4" w:rsidP="00FA55E4">
      <w:r w:rsidRPr="000273A3">
        <w:rPr>
          <w:b/>
          <w:bCs/>
        </w:rPr>
        <w:t xml:space="preserve">Triodos Global </w:t>
      </w:r>
      <w:proofErr w:type="spellStart"/>
      <w:r w:rsidRPr="000273A3">
        <w:rPr>
          <w:b/>
          <w:bCs/>
        </w:rPr>
        <w:t>Equities</w:t>
      </w:r>
      <w:proofErr w:type="spellEnd"/>
      <w:r w:rsidRPr="000273A3">
        <w:rPr>
          <w:b/>
          <w:bCs/>
        </w:rPr>
        <w:t xml:space="preserve"> Impact Fund</w:t>
      </w:r>
      <w:r w:rsidRPr="000273A3">
        <w:rPr>
          <w:b/>
          <w:bCs/>
        </w:rPr>
        <w:br/>
      </w:r>
      <w:r w:rsidRPr="00FA55E4">
        <w:t xml:space="preserve">Triodos biedt Nederlandstalige informatie, themapagina’s, </w:t>
      </w:r>
      <w:proofErr w:type="spellStart"/>
      <w:r w:rsidRPr="00FA55E4">
        <w:t>case-studies</w:t>
      </w:r>
      <w:proofErr w:type="spellEnd"/>
      <w:r w:rsidRPr="00FA55E4">
        <w:t xml:space="preserve"> en impact-rapporten. De duurzame doelstellingen en resultaten worden in begrijpelijke taal uitgelegd (Triodos Bank, 2025b; 2025c). </w:t>
      </w:r>
    </w:p>
    <w:p w14:paraId="4450CF7F" w14:textId="77777777" w:rsidR="00FA55E4" w:rsidRPr="00FA55E4" w:rsidRDefault="00FA55E4" w:rsidP="00FA55E4">
      <w:r w:rsidRPr="000273A3">
        <w:rPr>
          <w:b/>
          <w:bCs/>
        </w:rPr>
        <w:t>Beoordeling:</w:t>
      </w:r>
      <w:r w:rsidRPr="00FA55E4">
        <w:br/>
        <w:t>Voor klanten die duurzaamheid belangrijk vinden is de communicatie van Triodos veel sterker. Het fonds hoort hier dus hoger te scoren.</w:t>
      </w:r>
    </w:p>
    <w:p w14:paraId="6B3511AD" w14:textId="26D5D5B0" w:rsidR="00FA55E4" w:rsidRPr="00FA55E4" w:rsidRDefault="00FA55E4" w:rsidP="00FA55E4"/>
    <w:p w14:paraId="6DF4122E" w14:textId="26B8B705" w:rsidR="00FA55E4" w:rsidRPr="0057776D" w:rsidRDefault="0057776D" w:rsidP="0057776D">
      <w:pPr>
        <w:pStyle w:val="Heading2"/>
        <w:rPr>
          <w:sz w:val="32"/>
          <w:szCs w:val="32"/>
        </w:rPr>
      </w:pPr>
      <w:bookmarkStart w:id="19" w:name="_Toc218449558"/>
      <w:r w:rsidRPr="0057776D">
        <w:rPr>
          <w:sz w:val="32"/>
          <w:szCs w:val="32"/>
        </w:rPr>
        <w:t xml:space="preserve">4.1 </w:t>
      </w:r>
      <w:r w:rsidR="00E24ACA">
        <w:rPr>
          <w:sz w:val="32"/>
          <w:szCs w:val="32"/>
        </w:rPr>
        <w:t>C</w:t>
      </w:r>
      <w:r w:rsidR="00FA55E4" w:rsidRPr="0057776D">
        <w:rPr>
          <w:sz w:val="32"/>
          <w:szCs w:val="32"/>
        </w:rPr>
        <w:t>onclusie wereldwijde aandelenfondsen</w:t>
      </w:r>
      <w:bookmarkEnd w:id="19"/>
    </w:p>
    <w:p w14:paraId="476A6420" w14:textId="77777777" w:rsidR="00FA55E4" w:rsidRPr="00FA55E4" w:rsidRDefault="00FA55E4" w:rsidP="00FA55E4">
      <w:pPr>
        <w:numPr>
          <w:ilvl w:val="0"/>
          <w:numId w:val="5"/>
        </w:numPr>
      </w:pPr>
      <w:r w:rsidRPr="00FA55E4">
        <w:t xml:space="preserve">Financiële criteria (40% totaal): </w:t>
      </w:r>
      <w:proofErr w:type="spellStart"/>
      <w:r w:rsidRPr="00FA55E4">
        <w:t>iShares</w:t>
      </w:r>
      <w:proofErr w:type="spellEnd"/>
      <w:r w:rsidRPr="00FA55E4">
        <w:t xml:space="preserve"> </w:t>
      </w:r>
      <w:proofErr w:type="spellStart"/>
      <w:r w:rsidRPr="00FA55E4">
        <w:t>Core</w:t>
      </w:r>
      <w:proofErr w:type="spellEnd"/>
      <w:r w:rsidRPr="00FA55E4">
        <w:t xml:space="preserve"> MSCI World UCITS ETF scoort duidelijk hoger op risico/rendement en kosten.</w:t>
      </w:r>
    </w:p>
    <w:p w14:paraId="578FEB60" w14:textId="77777777" w:rsidR="00FA55E4" w:rsidRPr="00FA55E4" w:rsidRDefault="00FA55E4" w:rsidP="00FA55E4">
      <w:pPr>
        <w:numPr>
          <w:ilvl w:val="0"/>
          <w:numId w:val="5"/>
        </w:numPr>
      </w:pPr>
      <w:r w:rsidRPr="00FA55E4">
        <w:t xml:space="preserve">Duurzaamheidscriteria (50% totaal): Triodos Global </w:t>
      </w:r>
      <w:proofErr w:type="spellStart"/>
      <w:r w:rsidRPr="00FA55E4">
        <w:t>Equities</w:t>
      </w:r>
      <w:proofErr w:type="spellEnd"/>
      <w:r w:rsidRPr="00FA55E4">
        <w:t xml:space="preserve"> Impact Fund scoort hoger op aansluiting bij strategie, klimaatrisico’s en klantcommunicatie.</w:t>
      </w:r>
    </w:p>
    <w:p w14:paraId="4745B437" w14:textId="77777777" w:rsidR="00FA55E4" w:rsidRPr="00FA55E4" w:rsidRDefault="00FA55E4" w:rsidP="00FA55E4">
      <w:r w:rsidRPr="00FA55E4">
        <w:t xml:space="preserve">In de besluitvormingsmatrix kan worden onderbouwd dat </w:t>
      </w:r>
      <w:proofErr w:type="spellStart"/>
      <w:r w:rsidRPr="00FA55E4">
        <w:t>iShares</w:t>
      </w:r>
      <w:proofErr w:type="spellEnd"/>
      <w:r w:rsidRPr="00FA55E4">
        <w:t xml:space="preserve"> </w:t>
      </w:r>
      <w:proofErr w:type="spellStart"/>
      <w:r w:rsidRPr="00FA55E4">
        <w:t>Core</w:t>
      </w:r>
      <w:proofErr w:type="spellEnd"/>
      <w:r w:rsidRPr="00FA55E4">
        <w:t xml:space="preserve"> MSCI World UCITS ETF wordt geselecteerd als wereldwijd aandelenfonds vanwege de sterke financiële prestaties en lage kosten, terwijl in de tekst expliciet wordt erkend dat het Triodos-fonds op duurzaamheid hoger scoort. Dat past bij </w:t>
      </w:r>
      <w:proofErr w:type="spellStart"/>
      <w:r w:rsidRPr="00FA55E4">
        <w:t>Vermogenthuis</w:t>
      </w:r>
      <w:proofErr w:type="spellEnd"/>
      <w:r w:rsidRPr="00FA55E4">
        <w:t xml:space="preserve"> als financieel efficiënt maar tegelijk duurzaam georiënteerd kantoor: de kern wordt door de ETF gevormd, terwijl aanvullende impactfondsen (zoals in de speciale categorie) het duurzame profiel versterken.</w:t>
      </w:r>
    </w:p>
    <w:p w14:paraId="581F82DD" w14:textId="64537238" w:rsidR="00FA55E4" w:rsidRDefault="00FA55E4" w:rsidP="00FA55E4"/>
    <w:p w14:paraId="7CC23F6C" w14:textId="77777777" w:rsidR="00E24ACA" w:rsidRDefault="00E24ACA" w:rsidP="00FA55E4"/>
    <w:p w14:paraId="2919B49B" w14:textId="77777777" w:rsidR="00E24ACA" w:rsidRDefault="00E24ACA" w:rsidP="00FA55E4"/>
    <w:p w14:paraId="58447482" w14:textId="77777777" w:rsidR="00E24ACA" w:rsidRDefault="00E24ACA" w:rsidP="00FA55E4"/>
    <w:p w14:paraId="27E31AED" w14:textId="77777777" w:rsidR="00E24ACA" w:rsidRDefault="00E24ACA" w:rsidP="00FA55E4"/>
    <w:p w14:paraId="05FBD673" w14:textId="77777777" w:rsidR="00E24ACA" w:rsidRPr="00FA55E4" w:rsidRDefault="00E24ACA" w:rsidP="00FA55E4"/>
    <w:p w14:paraId="4BEC2CCE" w14:textId="7B917001" w:rsidR="00FA55E4" w:rsidRPr="00DC7246" w:rsidRDefault="00E24ACA" w:rsidP="00E24ACA">
      <w:pPr>
        <w:pStyle w:val="Heading1"/>
      </w:pPr>
      <w:bookmarkStart w:id="20" w:name="_Toc218449559"/>
      <w:r w:rsidRPr="00DC7246">
        <w:t xml:space="preserve">5. </w:t>
      </w:r>
      <w:r w:rsidR="00FA55E4" w:rsidRPr="00DC7246">
        <w:t xml:space="preserve"> Vergelijking speciale duurzame fondsen</w:t>
      </w:r>
      <w:bookmarkEnd w:id="20"/>
    </w:p>
    <w:p w14:paraId="03975491" w14:textId="77777777" w:rsidR="00162DCF" w:rsidRPr="00162DCF" w:rsidRDefault="00162DCF" w:rsidP="00162DCF">
      <w:pPr>
        <w:rPr>
          <w:i/>
          <w:iCs/>
        </w:rPr>
      </w:pPr>
      <w:r w:rsidRPr="00162DCF">
        <w:rPr>
          <w:i/>
          <w:iCs/>
        </w:rPr>
        <w:br/>
        <w:t xml:space="preserve">Onderstaand staat een competitief overzicht van de belangrijkste kwantitatieve verschillen tussen het BGF </w:t>
      </w:r>
      <w:proofErr w:type="spellStart"/>
      <w:r w:rsidRPr="00162DCF">
        <w:rPr>
          <w:i/>
          <w:iCs/>
        </w:rPr>
        <w:t>Sustainable</w:t>
      </w:r>
      <w:proofErr w:type="spellEnd"/>
      <w:r w:rsidRPr="00162DCF">
        <w:rPr>
          <w:i/>
          <w:iCs/>
        </w:rPr>
        <w:t xml:space="preserve"> Energy Fund (</w:t>
      </w:r>
      <w:proofErr w:type="spellStart"/>
      <w:r w:rsidRPr="00162DCF">
        <w:rPr>
          <w:i/>
          <w:iCs/>
        </w:rPr>
        <w:t>BlackRock</w:t>
      </w:r>
      <w:proofErr w:type="spellEnd"/>
      <w:r w:rsidRPr="00162DCF">
        <w:rPr>
          <w:i/>
          <w:iCs/>
        </w:rPr>
        <w:t xml:space="preserve">) en het Triodos Energy </w:t>
      </w:r>
      <w:proofErr w:type="spellStart"/>
      <w:r w:rsidRPr="00162DCF">
        <w:rPr>
          <w:i/>
          <w:iCs/>
        </w:rPr>
        <w:t>Transition</w:t>
      </w:r>
      <w:proofErr w:type="spellEnd"/>
      <w:r w:rsidRPr="00162DCF">
        <w:rPr>
          <w:i/>
          <w:iCs/>
        </w:rPr>
        <w:t xml:space="preserve"> Europe Fund. Deze gegevens vormen de basis voor de scorebepaling in de beslissingsmatrix. Na deze tabel worden de individuele scores per criterium verder toegelicht.</w:t>
      </w:r>
    </w:p>
    <w:p w14:paraId="5F93DFCB" w14:textId="48833496" w:rsidR="00162DCF" w:rsidRPr="00162DCF" w:rsidRDefault="00162DCF" w:rsidP="00162DCF">
      <w:pPr>
        <w:rPr>
          <w:b/>
          <w:bCs/>
          <w:i/>
          <w:iCs/>
        </w:rPr>
      </w:pPr>
      <w:r w:rsidRPr="00162DCF">
        <w:rPr>
          <w:b/>
          <w:bCs/>
          <w:i/>
          <w:iCs/>
        </w:rPr>
        <w:t>Kwantitatieve vergelijking speciale duurzame fondsen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3752"/>
        <w:gridCol w:w="2676"/>
      </w:tblGrid>
      <w:tr w:rsidR="00162DCF" w:rsidRPr="00DC7246" w14:paraId="56FC9435" w14:textId="77777777" w:rsidTr="00162DCF">
        <w:trPr>
          <w:tblHeader/>
          <w:tblCellSpacing w:w="15" w:type="dxa"/>
        </w:trPr>
        <w:tc>
          <w:tcPr>
            <w:tcW w:w="0" w:type="auto"/>
            <w:vAlign w:val="center"/>
            <w:hideMark/>
          </w:tcPr>
          <w:p w14:paraId="46FD5386" w14:textId="77777777" w:rsidR="00162DCF" w:rsidRPr="00162DCF" w:rsidRDefault="00162DCF" w:rsidP="00162DCF">
            <w:pPr>
              <w:rPr>
                <w:b/>
                <w:bCs/>
                <w:i/>
                <w:iCs/>
              </w:rPr>
            </w:pPr>
            <w:r w:rsidRPr="00162DCF">
              <w:rPr>
                <w:b/>
                <w:bCs/>
                <w:i/>
                <w:iCs/>
              </w:rPr>
              <w:t>Criterium</w:t>
            </w:r>
          </w:p>
        </w:tc>
        <w:tc>
          <w:tcPr>
            <w:tcW w:w="0" w:type="auto"/>
            <w:vAlign w:val="center"/>
            <w:hideMark/>
          </w:tcPr>
          <w:p w14:paraId="7F7A2147" w14:textId="77777777" w:rsidR="00162DCF" w:rsidRPr="00162DCF" w:rsidRDefault="00162DCF" w:rsidP="00162DCF">
            <w:pPr>
              <w:rPr>
                <w:b/>
                <w:bCs/>
                <w:i/>
                <w:iCs/>
                <w:lang w:val="en-US"/>
              </w:rPr>
            </w:pPr>
            <w:r w:rsidRPr="00162DCF">
              <w:rPr>
                <w:b/>
                <w:bCs/>
                <w:i/>
                <w:iCs/>
                <w:lang w:val="en-US"/>
              </w:rPr>
              <w:t>BGF Sustainable Energy Fund (A2 USD)</w:t>
            </w:r>
          </w:p>
        </w:tc>
        <w:tc>
          <w:tcPr>
            <w:tcW w:w="0" w:type="auto"/>
            <w:vAlign w:val="center"/>
            <w:hideMark/>
          </w:tcPr>
          <w:p w14:paraId="0B5BACB0" w14:textId="77777777" w:rsidR="00162DCF" w:rsidRPr="00162DCF" w:rsidRDefault="00162DCF" w:rsidP="00162DCF">
            <w:pPr>
              <w:rPr>
                <w:b/>
                <w:bCs/>
                <w:i/>
                <w:iCs/>
                <w:lang w:val="en-US"/>
              </w:rPr>
            </w:pPr>
            <w:proofErr w:type="spellStart"/>
            <w:r w:rsidRPr="00162DCF">
              <w:rPr>
                <w:b/>
                <w:bCs/>
                <w:i/>
                <w:iCs/>
                <w:lang w:val="en-US"/>
              </w:rPr>
              <w:t>Triodos</w:t>
            </w:r>
            <w:proofErr w:type="spellEnd"/>
            <w:r w:rsidRPr="00162DCF">
              <w:rPr>
                <w:b/>
                <w:bCs/>
                <w:i/>
                <w:iCs/>
                <w:lang w:val="en-US"/>
              </w:rPr>
              <w:t xml:space="preserve"> Energy Transition Europe Fund (Z2-cap)</w:t>
            </w:r>
          </w:p>
        </w:tc>
      </w:tr>
      <w:tr w:rsidR="00162DCF" w:rsidRPr="00162DCF" w14:paraId="7CAEE1D9" w14:textId="77777777" w:rsidTr="00162DCF">
        <w:trPr>
          <w:tblCellSpacing w:w="15" w:type="dxa"/>
        </w:trPr>
        <w:tc>
          <w:tcPr>
            <w:tcW w:w="0" w:type="auto"/>
            <w:vAlign w:val="center"/>
            <w:hideMark/>
          </w:tcPr>
          <w:p w14:paraId="32CE9EE7" w14:textId="77777777" w:rsidR="00162DCF" w:rsidRPr="00162DCF" w:rsidRDefault="00162DCF" w:rsidP="00162DCF">
            <w:pPr>
              <w:rPr>
                <w:i/>
                <w:iCs/>
              </w:rPr>
            </w:pPr>
            <w:r w:rsidRPr="00162DCF">
              <w:rPr>
                <w:b/>
                <w:bCs/>
                <w:i/>
                <w:iCs/>
              </w:rPr>
              <w:t>5-jaarsrendement (CAGR)</w:t>
            </w:r>
          </w:p>
        </w:tc>
        <w:tc>
          <w:tcPr>
            <w:tcW w:w="0" w:type="auto"/>
            <w:vAlign w:val="center"/>
            <w:hideMark/>
          </w:tcPr>
          <w:p w14:paraId="3BB2E21A" w14:textId="77777777" w:rsidR="00162DCF" w:rsidRPr="00162DCF" w:rsidRDefault="00162DCF" w:rsidP="00162DCF">
            <w:pPr>
              <w:rPr>
                <w:i/>
                <w:iCs/>
              </w:rPr>
            </w:pPr>
            <w:r w:rsidRPr="00162DCF">
              <w:rPr>
                <w:i/>
                <w:iCs/>
              </w:rPr>
              <w:t xml:space="preserve">ca. </w:t>
            </w:r>
            <w:r w:rsidRPr="00162DCF">
              <w:rPr>
                <w:b/>
                <w:bCs/>
                <w:i/>
                <w:iCs/>
              </w:rPr>
              <w:t>8,0% per jaar</w:t>
            </w:r>
            <w:r w:rsidRPr="00162DCF">
              <w:rPr>
                <w:i/>
                <w:iCs/>
              </w:rPr>
              <w:t xml:space="preserve"> (</w:t>
            </w:r>
            <w:proofErr w:type="spellStart"/>
            <w:r w:rsidRPr="00162DCF">
              <w:rPr>
                <w:i/>
                <w:iCs/>
              </w:rPr>
              <w:t>Morningstar</w:t>
            </w:r>
            <w:proofErr w:type="spellEnd"/>
            <w:r w:rsidRPr="00162DCF">
              <w:rPr>
                <w:i/>
                <w:iCs/>
              </w:rPr>
              <w:t>, 2025)</w:t>
            </w:r>
          </w:p>
        </w:tc>
        <w:tc>
          <w:tcPr>
            <w:tcW w:w="0" w:type="auto"/>
            <w:vAlign w:val="center"/>
            <w:hideMark/>
          </w:tcPr>
          <w:p w14:paraId="5898E5A5" w14:textId="77777777" w:rsidR="00162DCF" w:rsidRPr="00162DCF" w:rsidRDefault="00162DCF" w:rsidP="00162DCF">
            <w:pPr>
              <w:rPr>
                <w:i/>
                <w:iCs/>
              </w:rPr>
            </w:pPr>
            <w:r w:rsidRPr="00162DCF">
              <w:rPr>
                <w:i/>
                <w:iCs/>
              </w:rPr>
              <w:t xml:space="preserve">ca. </w:t>
            </w:r>
            <w:r w:rsidRPr="00162DCF">
              <w:rPr>
                <w:b/>
                <w:bCs/>
                <w:i/>
                <w:iCs/>
              </w:rPr>
              <w:t>7,1% per jaar</w:t>
            </w:r>
            <w:r w:rsidRPr="00162DCF">
              <w:rPr>
                <w:i/>
                <w:iCs/>
              </w:rPr>
              <w:t xml:space="preserve"> (Triodos IM, 2025)</w:t>
            </w:r>
          </w:p>
        </w:tc>
      </w:tr>
      <w:tr w:rsidR="00162DCF" w:rsidRPr="00162DCF" w14:paraId="6182ACEE" w14:textId="77777777" w:rsidTr="00162DCF">
        <w:trPr>
          <w:tblCellSpacing w:w="15" w:type="dxa"/>
        </w:trPr>
        <w:tc>
          <w:tcPr>
            <w:tcW w:w="0" w:type="auto"/>
            <w:vAlign w:val="center"/>
            <w:hideMark/>
          </w:tcPr>
          <w:p w14:paraId="5C1B4C26" w14:textId="77777777" w:rsidR="00162DCF" w:rsidRPr="00162DCF" w:rsidRDefault="00162DCF" w:rsidP="00162DCF">
            <w:pPr>
              <w:rPr>
                <w:i/>
                <w:iCs/>
              </w:rPr>
            </w:pPr>
            <w:r w:rsidRPr="00162DCF">
              <w:rPr>
                <w:b/>
                <w:bCs/>
                <w:i/>
                <w:iCs/>
              </w:rPr>
              <w:t>Risico-indicator</w:t>
            </w:r>
          </w:p>
        </w:tc>
        <w:tc>
          <w:tcPr>
            <w:tcW w:w="0" w:type="auto"/>
            <w:vAlign w:val="center"/>
            <w:hideMark/>
          </w:tcPr>
          <w:p w14:paraId="1E4533A2" w14:textId="77777777" w:rsidR="00162DCF" w:rsidRPr="00162DCF" w:rsidRDefault="00162DCF" w:rsidP="00162DCF">
            <w:pPr>
              <w:rPr>
                <w:i/>
                <w:iCs/>
              </w:rPr>
            </w:pPr>
            <w:r w:rsidRPr="00162DCF">
              <w:rPr>
                <w:b/>
                <w:bCs/>
                <w:i/>
                <w:iCs/>
              </w:rPr>
              <w:t>Volatiliteit 5 jaar: ca. 19%</w:t>
            </w:r>
            <w:r w:rsidRPr="00162DCF">
              <w:rPr>
                <w:i/>
                <w:iCs/>
              </w:rPr>
              <w:t xml:space="preserve"> (</w:t>
            </w:r>
            <w:proofErr w:type="spellStart"/>
            <w:r w:rsidRPr="00162DCF">
              <w:rPr>
                <w:i/>
                <w:iCs/>
              </w:rPr>
              <w:t>Morningstar</w:t>
            </w:r>
            <w:proofErr w:type="spellEnd"/>
            <w:r w:rsidRPr="00162DCF">
              <w:rPr>
                <w:i/>
                <w:iCs/>
              </w:rPr>
              <w:t>/</w:t>
            </w:r>
            <w:proofErr w:type="spellStart"/>
            <w:r w:rsidRPr="00162DCF">
              <w:rPr>
                <w:i/>
                <w:iCs/>
              </w:rPr>
              <w:t>BlackRock</w:t>
            </w:r>
            <w:proofErr w:type="spellEnd"/>
            <w:r w:rsidRPr="00162DCF">
              <w:rPr>
                <w:i/>
                <w:iCs/>
              </w:rPr>
              <w:t>, 2025)</w:t>
            </w:r>
          </w:p>
        </w:tc>
        <w:tc>
          <w:tcPr>
            <w:tcW w:w="0" w:type="auto"/>
            <w:vAlign w:val="center"/>
            <w:hideMark/>
          </w:tcPr>
          <w:p w14:paraId="5FDAA1EB" w14:textId="77777777" w:rsidR="00162DCF" w:rsidRPr="00162DCF" w:rsidRDefault="00162DCF" w:rsidP="00162DCF">
            <w:pPr>
              <w:rPr>
                <w:i/>
                <w:iCs/>
              </w:rPr>
            </w:pPr>
            <w:r w:rsidRPr="00162DCF">
              <w:rPr>
                <w:b/>
                <w:bCs/>
                <w:i/>
                <w:iCs/>
              </w:rPr>
              <w:t>Risicoklasse: 3/7</w:t>
            </w:r>
            <w:r w:rsidRPr="00162DCF">
              <w:rPr>
                <w:i/>
                <w:iCs/>
              </w:rPr>
              <w:t xml:space="preserve"> (Triodos IM, 2025)</w:t>
            </w:r>
          </w:p>
        </w:tc>
      </w:tr>
      <w:tr w:rsidR="00162DCF" w:rsidRPr="00162DCF" w14:paraId="527DEFF1" w14:textId="77777777" w:rsidTr="00162DCF">
        <w:trPr>
          <w:tblCellSpacing w:w="15" w:type="dxa"/>
        </w:trPr>
        <w:tc>
          <w:tcPr>
            <w:tcW w:w="0" w:type="auto"/>
            <w:vAlign w:val="center"/>
            <w:hideMark/>
          </w:tcPr>
          <w:p w14:paraId="6D310A43" w14:textId="77777777" w:rsidR="00162DCF" w:rsidRPr="00162DCF" w:rsidRDefault="00162DCF" w:rsidP="00162DCF">
            <w:pPr>
              <w:rPr>
                <w:i/>
                <w:iCs/>
              </w:rPr>
            </w:pPr>
            <w:r w:rsidRPr="00162DCF">
              <w:rPr>
                <w:b/>
                <w:bCs/>
                <w:i/>
                <w:iCs/>
              </w:rPr>
              <w:t>Jaarlijkse kosten (TER)</w:t>
            </w:r>
          </w:p>
        </w:tc>
        <w:tc>
          <w:tcPr>
            <w:tcW w:w="0" w:type="auto"/>
            <w:vAlign w:val="center"/>
            <w:hideMark/>
          </w:tcPr>
          <w:p w14:paraId="0D63AA73" w14:textId="77777777" w:rsidR="00162DCF" w:rsidRPr="00162DCF" w:rsidRDefault="00162DCF" w:rsidP="00162DCF">
            <w:pPr>
              <w:rPr>
                <w:i/>
                <w:iCs/>
              </w:rPr>
            </w:pPr>
            <w:r w:rsidRPr="00162DCF">
              <w:rPr>
                <w:b/>
                <w:bCs/>
                <w:i/>
                <w:iCs/>
              </w:rPr>
              <w:t>1,96%</w:t>
            </w:r>
            <w:r w:rsidRPr="00162DCF">
              <w:rPr>
                <w:i/>
                <w:iCs/>
              </w:rPr>
              <w:t xml:space="preserve"> (</w:t>
            </w:r>
            <w:proofErr w:type="spellStart"/>
            <w:r w:rsidRPr="00162DCF">
              <w:rPr>
                <w:i/>
                <w:iCs/>
              </w:rPr>
              <w:t>BlackRock</w:t>
            </w:r>
            <w:proofErr w:type="spellEnd"/>
            <w:r w:rsidRPr="00162DCF">
              <w:rPr>
                <w:i/>
                <w:iCs/>
              </w:rPr>
              <w:t>, 2025)</w:t>
            </w:r>
          </w:p>
        </w:tc>
        <w:tc>
          <w:tcPr>
            <w:tcW w:w="0" w:type="auto"/>
            <w:vAlign w:val="center"/>
            <w:hideMark/>
          </w:tcPr>
          <w:p w14:paraId="438EA5DD" w14:textId="77777777" w:rsidR="00162DCF" w:rsidRPr="00162DCF" w:rsidRDefault="00162DCF" w:rsidP="00162DCF">
            <w:pPr>
              <w:rPr>
                <w:i/>
                <w:iCs/>
              </w:rPr>
            </w:pPr>
            <w:r w:rsidRPr="00162DCF">
              <w:rPr>
                <w:b/>
                <w:bCs/>
                <w:i/>
                <w:iCs/>
              </w:rPr>
              <w:t>2,69%</w:t>
            </w:r>
            <w:r w:rsidRPr="00162DCF">
              <w:rPr>
                <w:i/>
                <w:iCs/>
              </w:rPr>
              <w:t xml:space="preserve"> (Triodos IM, 2025)</w:t>
            </w:r>
          </w:p>
        </w:tc>
      </w:tr>
      <w:tr w:rsidR="00162DCF" w:rsidRPr="00162DCF" w14:paraId="31181067" w14:textId="77777777" w:rsidTr="00162DCF">
        <w:trPr>
          <w:tblCellSpacing w:w="15" w:type="dxa"/>
        </w:trPr>
        <w:tc>
          <w:tcPr>
            <w:tcW w:w="0" w:type="auto"/>
            <w:vAlign w:val="center"/>
            <w:hideMark/>
          </w:tcPr>
          <w:p w14:paraId="446AD687" w14:textId="77777777" w:rsidR="00162DCF" w:rsidRPr="00162DCF" w:rsidRDefault="00162DCF" w:rsidP="00162DCF">
            <w:pPr>
              <w:rPr>
                <w:i/>
                <w:iCs/>
              </w:rPr>
            </w:pPr>
            <w:r w:rsidRPr="00162DCF">
              <w:rPr>
                <w:b/>
                <w:bCs/>
                <w:i/>
                <w:iCs/>
              </w:rPr>
              <w:t>Kostenimpact 10 jaar bij €10.000 inleg</w:t>
            </w:r>
            <w:r w:rsidRPr="00162DCF">
              <w:rPr>
                <w:i/>
                <w:iCs/>
              </w:rPr>
              <w:t>*</w:t>
            </w:r>
          </w:p>
        </w:tc>
        <w:tc>
          <w:tcPr>
            <w:tcW w:w="0" w:type="auto"/>
            <w:vAlign w:val="center"/>
            <w:hideMark/>
          </w:tcPr>
          <w:p w14:paraId="51B4DB0C" w14:textId="77777777" w:rsidR="00162DCF" w:rsidRPr="00162DCF" w:rsidRDefault="00162DCF" w:rsidP="00162DCF">
            <w:pPr>
              <w:rPr>
                <w:i/>
                <w:iCs/>
              </w:rPr>
            </w:pPr>
            <w:r w:rsidRPr="00162DCF">
              <w:rPr>
                <w:b/>
                <w:bCs/>
                <w:i/>
                <w:iCs/>
              </w:rPr>
              <w:t>ca. €1.960</w:t>
            </w:r>
          </w:p>
        </w:tc>
        <w:tc>
          <w:tcPr>
            <w:tcW w:w="0" w:type="auto"/>
            <w:vAlign w:val="center"/>
            <w:hideMark/>
          </w:tcPr>
          <w:p w14:paraId="22444BAE" w14:textId="77777777" w:rsidR="00162DCF" w:rsidRPr="00162DCF" w:rsidRDefault="00162DCF" w:rsidP="00162DCF">
            <w:pPr>
              <w:rPr>
                <w:i/>
                <w:iCs/>
              </w:rPr>
            </w:pPr>
            <w:r w:rsidRPr="00162DCF">
              <w:rPr>
                <w:b/>
                <w:bCs/>
                <w:i/>
                <w:iCs/>
              </w:rPr>
              <w:t>ca. €2.690</w:t>
            </w:r>
          </w:p>
        </w:tc>
      </w:tr>
    </w:tbl>
    <w:p w14:paraId="033A101F" w14:textId="77777777" w:rsidR="00162DCF" w:rsidRPr="00162DCF" w:rsidRDefault="00162DCF" w:rsidP="00162DCF">
      <w:pPr>
        <w:rPr>
          <w:i/>
          <w:iCs/>
        </w:rPr>
      </w:pPr>
      <w:r w:rsidRPr="00162DCF">
        <w:rPr>
          <w:i/>
          <w:iCs/>
        </w:rPr>
        <w:t>* Berekening: TER × €10.000 × 10 jaar (indicatief, zonder rendementseffect).</w:t>
      </w:r>
    </w:p>
    <w:p w14:paraId="4F58B4D5" w14:textId="77777777" w:rsidR="00162DCF" w:rsidRDefault="00162DCF" w:rsidP="00FA55E4">
      <w:pPr>
        <w:rPr>
          <w:i/>
          <w:iCs/>
        </w:rPr>
      </w:pPr>
      <w:r w:rsidRPr="00162DCF">
        <w:rPr>
          <w:i/>
          <w:iCs/>
        </w:rPr>
        <w:br/>
      </w:r>
    </w:p>
    <w:p w14:paraId="36B288E9" w14:textId="77777777" w:rsidR="00162DCF" w:rsidRDefault="00162DCF" w:rsidP="00FA55E4">
      <w:pPr>
        <w:rPr>
          <w:i/>
          <w:iCs/>
        </w:rPr>
      </w:pPr>
    </w:p>
    <w:p w14:paraId="4ADBA615" w14:textId="77777777" w:rsidR="00162DCF" w:rsidRDefault="00162DCF" w:rsidP="00FA55E4">
      <w:pPr>
        <w:rPr>
          <w:i/>
          <w:iCs/>
        </w:rPr>
      </w:pPr>
    </w:p>
    <w:p w14:paraId="1889D4C1" w14:textId="77777777" w:rsidR="00162DCF" w:rsidRDefault="00162DCF" w:rsidP="00FA55E4">
      <w:pPr>
        <w:rPr>
          <w:i/>
          <w:iCs/>
        </w:rPr>
      </w:pPr>
    </w:p>
    <w:p w14:paraId="58B4683C" w14:textId="77777777" w:rsidR="00162DCF" w:rsidRDefault="00162DCF" w:rsidP="00FA55E4">
      <w:pPr>
        <w:rPr>
          <w:i/>
          <w:iCs/>
        </w:rPr>
      </w:pPr>
    </w:p>
    <w:p w14:paraId="1DED8794" w14:textId="77777777" w:rsidR="00162DCF" w:rsidRDefault="00162DCF" w:rsidP="00FA55E4">
      <w:pPr>
        <w:rPr>
          <w:i/>
          <w:iCs/>
        </w:rPr>
      </w:pPr>
    </w:p>
    <w:p w14:paraId="3D6DE8DD" w14:textId="77777777" w:rsidR="00162DCF" w:rsidRDefault="00162DCF" w:rsidP="00FA55E4">
      <w:pPr>
        <w:rPr>
          <w:i/>
          <w:iCs/>
        </w:rPr>
      </w:pPr>
    </w:p>
    <w:p w14:paraId="4344F306" w14:textId="77777777" w:rsidR="00162DCF" w:rsidRDefault="00162DCF" w:rsidP="00FA55E4">
      <w:pPr>
        <w:rPr>
          <w:i/>
          <w:iCs/>
        </w:rPr>
      </w:pPr>
    </w:p>
    <w:p w14:paraId="43A229C3" w14:textId="4148DAD4" w:rsidR="00FA55E4" w:rsidRPr="00E24ACA" w:rsidRDefault="00162DCF" w:rsidP="00FA55E4">
      <w:pPr>
        <w:rPr>
          <w:b/>
          <w:bCs/>
        </w:rPr>
      </w:pPr>
      <w:r>
        <w:rPr>
          <w:b/>
          <w:bCs/>
        </w:rPr>
        <w:br/>
      </w:r>
      <w:r>
        <w:rPr>
          <w:b/>
          <w:bCs/>
        </w:rPr>
        <w:br/>
      </w:r>
      <w:r>
        <w:rPr>
          <w:b/>
          <w:bCs/>
        </w:rPr>
        <w:br/>
      </w:r>
      <w:r w:rsidR="00FA55E4" w:rsidRPr="00E24ACA">
        <w:rPr>
          <w:b/>
          <w:bCs/>
        </w:rPr>
        <w:t>1</w:t>
      </w:r>
      <w:r w:rsidR="00E24ACA" w:rsidRPr="00E24ACA">
        <w:rPr>
          <w:b/>
          <w:bCs/>
        </w:rPr>
        <w:t>.</w:t>
      </w:r>
      <w:r w:rsidR="00FA55E4" w:rsidRPr="00E24ACA">
        <w:rPr>
          <w:b/>
          <w:bCs/>
        </w:rPr>
        <w:t xml:space="preserve"> Communicatie beleggingsstrategie (10%)</w:t>
      </w:r>
      <w:r w:rsidR="00E24ACA">
        <w:rPr>
          <w:b/>
          <w:bCs/>
        </w:rPr>
        <w:t>:</w:t>
      </w:r>
    </w:p>
    <w:p w14:paraId="3F28F7D4" w14:textId="3C7E50B7" w:rsidR="00FA55E4" w:rsidRPr="00FA55E4" w:rsidRDefault="00FA55E4" w:rsidP="00FA55E4">
      <w:r w:rsidRPr="00E24ACA">
        <w:rPr>
          <w:b/>
          <w:bCs/>
        </w:rPr>
        <w:t xml:space="preserve">BGF </w:t>
      </w:r>
      <w:proofErr w:type="spellStart"/>
      <w:r w:rsidRPr="00E24ACA">
        <w:rPr>
          <w:b/>
          <w:bCs/>
        </w:rPr>
        <w:t>Sustainable</w:t>
      </w:r>
      <w:proofErr w:type="spellEnd"/>
      <w:r w:rsidRPr="00E24ACA">
        <w:rPr>
          <w:b/>
          <w:bCs/>
        </w:rPr>
        <w:t xml:space="preserve"> Energy Fund (</w:t>
      </w:r>
      <w:proofErr w:type="spellStart"/>
      <w:r w:rsidRPr="00E24ACA">
        <w:rPr>
          <w:b/>
          <w:bCs/>
        </w:rPr>
        <w:t>BlackRock</w:t>
      </w:r>
      <w:proofErr w:type="spellEnd"/>
      <w:r w:rsidRPr="00E24ACA">
        <w:rPr>
          <w:b/>
          <w:bCs/>
        </w:rPr>
        <w:t>)</w:t>
      </w:r>
      <w:r w:rsidRPr="00FA55E4">
        <w:br/>
      </w:r>
      <w:proofErr w:type="spellStart"/>
      <w:r w:rsidRPr="00FA55E4">
        <w:t>BlackRock</w:t>
      </w:r>
      <w:proofErr w:type="spellEnd"/>
      <w:r w:rsidRPr="00FA55E4">
        <w:t xml:space="preserve"> geeft aan dat minimaal 70% van het fondsvermogen wordt belegd in aandelen van ondernemingen die actief zijn in duurzame energie of gerelateerde technologieën, met als referentie de MSCI </w:t>
      </w:r>
      <w:proofErr w:type="spellStart"/>
      <w:r w:rsidRPr="00FA55E4">
        <w:t>All</w:t>
      </w:r>
      <w:proofErr w:type="spellEnd"/>
      <w:r w:rsidRPr="00FA55E4">
        <w:t xml:space="preserve"> Country World Index (Net) (</w:t>
      </w:r>
      <w:proofErr w:type="spellStart"/>
      <w:r w:rsidRPr="00FA55E4">
        <w:t>BlackRock</w:t>
      </w:r>
      <w:proofErr w:type="spellEnd"/>
      <w:r w:rsidRPr="00FA55E4">
        <w:t xml:space="preserve">, 2025b; 2025c). </w:t>
      </w:r>
      <w:r w:rsidRPr="00FA55E4">
        <w:br/>
        <w:t>Beleggingsdoelstelling, sectorfocus en SFDR-classificatie (artikel 9) worden duidelijk beschreven.</w:t>
      </w:r>
    </w:p>
    <w:p w14:paraId="21B85FA0" w14:textId="54EB4DED" w:rsidR="00FA55E4" w:rsidRPr="00FA55E4" w:rsidRDefault="00FA55E4" w:rsidP="00FA55E4">
      <w:r w:rsidRPr="00E24ACA">
        <w:rPr>
          <w:b/>
          <w:bCs/>
        </w:rPr>
        <w:t xml:space="preserve">Triodos Energy </w:t>
      </w:r>
      <w:proofErr w:type="spellStart"/>
      <w:r w:rsidRPr="00E24ACA">
        <w:rPr>
          <w:b/>
          <w:bCs/>
        </w:rPr>
        <w:t>Transition</w:t>
      </w:r>
      <w:proofErr w:type="spellEnd"/>
      <w:r w:rsidRPr="00E24ACA">
        <w:rPr>
          <w:b/>
          <w:bCs/>
        </w:rPr>
        <w:t xml:space="preserve"> Europe Fund</w:t>
      </w:r>
      <w:r w:rsidRPr="00FA55E4">
        <w:br/>
        <w:t xml:space="preserve">Triodos beschrijft het fonds als impactfonds met CO₂-reductie als hoofddoel. Het fonds investeert in Europese projecten voor windenergie, zonne-energie, waterkracht en batterijopslag (Triodos Bank, 2025a). </w:t>
      </w:r>
    </w:p>
    <w:p w14:paraId="585F7141" w14:textId="0B80A2A5" w:rsidR="00E24ACA" w:rsidRPr="00FA55E4" w:rsidRDefault="00FA55E4" w:rsidP="00FA55E4">
      <w:r w:rsidRPr="00E24ACA">
        <w:rPr>
          <w:b/>
          <w:bCs/>
        </w:rPr>
        <w:t>Beoordeling:</w:t>
      </w:r>
      <w:r w:rsidRPr="00FA55E4">
        <w:br/>
        <w:t>Beide fondsen communiceren hun strategie helder. Het Triodos-fonds koppelt de strategie nog concreter aan meetbare impact (kWh duurzame energie, CO₂-reductie), wat positief is voor dit criterium.</w:t>
      </w:r>
      <w:r w:rsidR="00E24ACA">
        <w:br/>
      </w:r>
    </w:p>
    <w:p w14:paraId="566F347D" w14:textId="3B4B8AA1" w:rsidR="00FA55E4" w:rsidRPr="00E24ACA" w:rsidRDefault="00FA55E4" w:rsidP="00FA55E4">
      <w:pPr>
        <w:rPr>
          <w:b/>
          <w:bCs/>
        </w:rPr>
      </w:pPr>
      <w:r w:rsidRPr="00E24ACA">
        <w:rPr>
          <w:b/>
          <w:bCs/>
        </w:rPr>
        <w:t>2</w:t>
      </w:r>
      <w:r w:rsidR="00E24ACA">
        <w:rPr>
          <w:b/>
          <w:bCs/>
        </w:rPr>
        <w:t>.</w:t>
      </w:r>
      <w:r w:rsidRPr="00E24ACA">
        <w:rPr>
          <w:b/>
          <w:bCs/>
        </w:rPr>
        <w:t xml:space="preserve"> Historische risico/rendementsverhouding (25%)</w:t>
      </w:r>
      <w:r w:rsidR="00E24ACA">
        <w:rPr>
          <w:b/>
          <w:bCs/>
        </w:rPr>
        <w:t>:</w:t>
      </w:r>
    </w:p>
    <w:p w14:paraId="033D8EE8" w14:textId="04F884E5" w:rsidR="00FA55E4" w:rsidRPr="00FA55E4" w:rsidRDefault="00FA55E4" w:rsidP="00FA55E4">
      <w:r w:rsidRPr="00E24ACA">
        <w:rPr>
          <w:b/>
          <w:bCs/>
        </w:rPr>
        <w:t xml:space="preserve">BGF </w:t>
      </w:r>
      <w:proofErr w:type="spellStart"/>
      <w:r w:rsidRPr="00E24ACA">
        <w:rPr>
          <w:b/>
          <w:bCs/>
        </w:rPr>
        <w:t>Sustainable</w:t>
      </w:r>
      <w:proofErr w:type="spellEnd"/>
      <w:r w:rsidRPr="00E24ACA">
        <w:rPr>
          <w:b/>
          <w:bCs/>
        </w:rPr>
        <w:t xml:space="preserve"> Energy Fund</w:t>
      </w:r>
      <w:r w:rsidRPr="00FA55E4">
        <w:br/>
        <w:t xml:space="preserve">Het fonds kent een lange historie (sinds 2001) en behoort tot de categorie Sector </w:t>
      </w:r>
      <w:proofErr w:type="spellStart"/>
      <w:r w:rsidRPr="00FA55E4">
        <w:t>Equity</w:t>
      </w:r>
      <w:proofErr w:type="spellEnd"/>
      <w:r w:rsidRPr="00FA55E4">
        <w:t xml:space="preserve"> </w:t>
      </w:r>
      <w:proofErr w:type="spellStart"/>
      <w:r w:rsidRPr="00FA55E4">
        <w:t>Alternative</w:t>
      </w:r>
      <w:proofErr w:type="spellEnd"/>
      <w:r w:rsidRPr="00FA55E4">
        <w:t xml:space="preserve"> Energy. De </w:t>
      </w:r>
      <w:proofErr w:type="spellStart"/>
      <w:r w:rsidRPr="00FA55E4">
        <w:t>driejaars</w:t>
      </w:r>
      <w:proofErr w:type="spellEnd"/>
      <w:r w:rsidRPr="00FA55E4">
        <w:t>-volatiliteit bedraagt circa 19,1%, wat wijst op een hoog risicoprofiel (</w:t>
      </w:r>
      <w:proofErr w:type="spellStart"/>
      <w:r w:rsidRPr="00FA55E4">
        <w:t>BlackRock</w:t>
      </w:r>
      <w:proofErr w:type="spellEnd"/>
      <w:r w:rsidRPr="00FA55E4">
        <w:t xml:space="preserve">, 2025b; 2025c). </w:t>
      </w:r>
      <w:r w:rsidRPr="00FA55E4">
        <w:br/>
      </w:r>
      <w:r w:rsidR="00EF6C2A" w:rsidRPr="00EF6C2A">
        <w:t xml:space="preserve">Het </w:t>
      </w:r>
      <w:proofErr w:type="spellStart"/>
      <w:r w:rsidR="00EF6C2A" w:rsidRPr="00EF6C2A">
        <w:t>vijfjaarsrendement</w:t>
      </w:r>
      <w:proofErr w:type="spellEnd"/>
      <w:r w:rsidR="00EF6C2A" w:rsidRPr="00EF6C2A">
        <w:t xml:space="preserve"> bedraagt gemiddeld rond de 8% per jaar</w:t>
      </w:r>
      <w:r w:rsidR="00EF6C2A">
        <w:t>, maar o</w:t>
      </w:r>
      <w:r w:rsidRPr="00FA55E4">
        <w:t>p jaarbasis zijn de rendementen zeer wisselend, met sterke positieve jaren en forse verliezen in zwakke markten (</w:t>
      </w:r>
      <w:proofErr w:type="spellStart"/>
      <w:r w:rsidRPr="00FA55E4">
        <w:t>BlackRock</w:t>
      </w:r>
      <w:proofErr w:type="spellEnd"/>
      <w:r w:rsidRPr="00FA55E4">
        <w:t xml:space="preserve">, 2025c; 2025d). </w:t>
      </w:r>
    </w:p>
    <w:p w14:paraId="4F149DF1" w14:textId="531BBA23" w:rsidR="00C57DD2" w:rsidRPr="00162DCF" w:rsidRDefault="00FA55E4" w:rsidP="00FA55E4">
      <w:r w:rsidRPr="00E24ACA">
        <w:rPr>
          <w:b/>
          <w:bCs/>
        </w:rPr>
        <w:t xml:space="preserve">Triodos Energy </w:t>
      </w:r>
      <w:proofErr w:type="spellStart"/>
      <w:r w:rsidRPr="00E24ACA">
        <w:rPr>
          <w:b/>
          <w:bCs/>
        </w:rPr>
        <w:t>Transition</w:t>
      </w:r>
      <w:proofErr w:type="spellEnd"/>
      <w:r w:rsidRPr="00E24ACA">
        <w:rPr>
          <w:b/>
          <w:bCs/>
        </w:rPr>
        <w:t xml:space="preserve"> Europe Fund</w:t>
      </w:r>
      <w:r w:rsidRPr="00FA55E4">
        <w:br/>
        <w:t xml:space="preserve">Triodos rapporteert een gemiddeld rendement van 7,13% per jaar over de laatste 5 jaar (per 31-10-2025), met een risicoprofiel dat als “klein tot gemiddeld” wordt omschreven (Triodos Bank, 2025a). </w:t>
      </w:r>
      <w:r w:rsidRPr="00FA55E4">
        <w:br/>
        <w:t xml:space="preserve">In de rendementsoverzichten bedraagt de </w:t>
      </w:r>
      <w:proofErr w:type="spellStart"/>
      <w:r w:rsidRPr="00FA55E4">
        <w:t>vijfjaarsgemiddelde</w:t>
      </w:r>
      <w:proofErr w:type="spellEnd"/>
      <w:r w:rsidRPr="00FA55E4">
        <w:t xml:space="preserve"> circa 6,9–7,1% per jaar, met risicometer 3 van 7 (Triodos Bank, 2025c). </w:t>
      </w:r>
    </w:p>
    <w:p w14:paraId="16013B88" w14:textId="2548A011" w:rsidR="00FA55E4" w:rsidRPr="00FA55E4" w:rsidRDefault="00FA55E4" w:rsidP="00FA55E4">
      <w:r w:rsidRPr="00E24ACA">
        <w:rPr>
          <w:b/>
          <w:bCs/>
        </w:rPr>
        <w:t>Beoordeling:</w:t>
      </w:r>
      <w:r w:rsidRPr="00FA55E4">
        <w:br/>
        <w:t>BGF biedt een hoger rendements</w:t>
      </w:r>
      <w:r w:rsidRPr="00FA55E4">
        <w:softHyphen/>
        <w:t xml:space="preserve">potentieel maar met duidelijk hogere volatiliteit. Triodos Energy </w:t>
      </w:r>
      <w:proofErr w:type="spellStart"/>
      <w:r w:rsidRPr="00FA55E4">
        <w:t>Transition</w:t>
      </w:r>
      <w:proofErr w:type="spellEnd"/>
      <w:r w:rsidRPr="00FA55E4">
        <w:t xml:space="preserve"> Europe Fund levert een stabielere risico/rendementsverhouding, passend bij klanten die wel thematisch willen beleggen, maar geen extreme risico’s accepteren. Afhankelijk van de risicohouding kan Triodos op criterium 2 dus gelijk of zelfs positiever gewaardeerd worden.</w:t>
      </w:r>
    </w:p>
    <w:p w14:paraId="485585D4" w14:textId="5C1217FB" w:rsidR="00FA55E4" w:rsidRPr="00E24ACA" w:rsidRDefault="00FA55E4" w:rsidP="00FA55E4">
      <w:pPr>
        <w:rPr>
          <w:b/>
          <w:bCs/>
        </w:rPr>
      </w:pPr>
      <w:r w:rsidRPr="00E24ACA">
        <w:rPr>
          <w:b/>
          <w:bCs/>
        </w:rPr>
        <w:t>3.</w:t>
      </w:r>
      <w:r w:rsidR="00E24ACA">
        <w:rPr>
          <w:b/>
          <w:bCs/>
        </w:rPr>
        <w:t xml:space="preserve"> </w:t>
      </w:r>
      <w:r w:rsidRPr="00E24ACA">
        <w:rPr>
          <w:b/>
          <w:bCs/>
        </w:rPr>
        <w:t>Kosten (15%)</w:t>
      </w:r>
      <w:r w:rsidR="00E24ACA">
        <w:rPr>
          <w:b/>
          <w:bCs/>
        </w:rPr>
        <w:t>:</w:t>
      </w:r>
    </w:p>
    <w:p w14:paraId="13FC036A" w14:textId="3D2EDBB0" w:rsidR="00FA55E4" w:rsidRPr="00FA55E4" w:rsidRDefault="00FA55E4" w:rsidP="00FA55E4">
      <w:r w:rsidRPr="00E24ACA">
        <w:rPr>
          <w:b/>
          <w:bCs/>
        </w:rPr>
        <w:t xml:space="preserve">BGF </w:t>
      </w:r>
      <w:proofErr w:type="spellStart"/>
      <w:r w:rsidRPr="00E24ACA">
        <w:rPr>
          <w:b/>
          <w:bCs/>
        </w:rPr>
        <w:t>Sustainable</w:t>
      </w:r>
      <w:proofErr w:type="spellEnd"/>
      <w:r w:rsidRPr="00E24ACA">
        <w:rPr>
          <w:b/>
          <w:bCs/>
        </w:rPr>
        <w:t xml:space="preserve"> Energy Fund</w:t>
      </w:r>
      <w:r w:rsidRPr="00FA55E4">
        <w:br/>
        <w:t>De lopende kosten bedragen ongeveer 1,96% per jaar; de beheervergoeding is 1,65% (</w:t>
      </w:r>
      <w:proofErr w:type="spellStart"/>
      <w:r w:rsidRPr="00FA55E4">
        <w:t>BlackRock</w:t>
      </w:r>
      <w:proofErr w:type="spellEnd"/>
      <w:r w:rsidRPr="00FA55E4">
        <w:t xml:space="preserve">, 2025b; 2025c). </w:t>
      </w:r>
    </w:p>
    <w:p w14:paraId="461BB47A" w14:textId="49AED12B" w:rsidR="00FA55E4" w:rsidRPr="00FA55E4" w:rsidRDefault="00FA55E4" w:rsidP="00FA55E4">
      <w:r w:rsidRPr="00E24ACA">
        <w:rPr>
          <w:b/>
          <w:bCs/>
        </w:rPr>
        <w:t xml:space="preserve">Triodos Energy </w:t>
      </w:r>
      <w:proofErr w:type="spellStart"/>
      <w:r w:rsidRPr="00E24ACA">
        <w:rPr>
          <w:b/>
          <w:bCs/>
        </w:rPr>
        <w:t>Transition</w:t>
      </w:r>
      <w:proofErr w:type="spellEnd"/>
      <w:r w:rsidRPr="00E24ACA">
        <w:rPr>
          <w:b/>
          <w:bCs/>
        </w:rPr>
        <w:t xml:space="preserve"> Europe Fund</w:t>
      </w:r>
      <w:r w:rsidRPr="00FA55E4">
        <w:br/>
        <w:t xml:space="preserve">Volgens Triodos bedragen de fondskosten 2,69% en de servicekosten 0,48% per jaar (Triodos Bank, 2025a). </w:t>
      </w:r>
    </w:p>
    <w:p w14:paraId="2FE7844A" w14:textId="77777777" w:rsidR="00FA55E4" w:rsidRPr="00FA55E4" w:rsidRDefault="00FA55E4" w:rsidP="00FA55E4">
      <w:r w:rsidRPr="00E24ACA">
        <w:rPr>
          <w:b/>
          <w:bCs/>
        </w:rPr>
        <w:t>Beoordeling:</w:t>
      </w:r>
      <w:r w:rsidRPr="00FA55E4">
        <w:br/>
        <w:t xml:space="preserve">Op kosten scoort BGF </w:t>
      </w:r>
      <w:proofErr w:type="spellStart"/>
      <w:r w:rsidRPr="00FA55E4">
        <w:t>Sustainable</w:t>
      </w:r>
      <w:proofErr w:type="spellEnd"/>
      <w:r w:rsidRPr="00FA55E4">
        <w:t xml:space="preserve"> Energy Fund duidelijk beter; Triodos is beduidend duurder.</w:t>
      </w:r>
    </w:p>
    <w:p w14:paraId="5FCAC7CC" w14:textId="529B3D7B" w:rsidR="00FA55E4" w:rsidRPr="00FA55E4" w:rsidRDefault="00FA55E4" w:rsidP="00FA55E4"/>
    <w:p w14:paraId="015FD0CE" w14:textId="1A9D3EC2" w:rsidR="00FA55E4" w:rsidRPr="00E24ACA" w:rsidRDefault="00FA55E4" w:rsidP="00FA55E4">
      <w:pPr>
        <w:rPr>
          <w:b/>
          <w:bCs/>
        </w:rPr>
      </w:pPr>
      <w:r w:rsidRPr="00E24ACA">
        <w:rPr>
          <w:b/>
          <w:bCs/>
        </w:rPr>
        <w:t>4</w:t>
      </w:r>
      <w:r w:rsidR="00E24ACA" w:rsidRPr="00E24ACA">
        <w:rPr>
          <w:b/>
          <w:bCs/>
        </w:rPr>
        <w:t>.</w:t>
      </w:r>
      <w:r w:rsidRPr="00E24ACA">
        <w:rPr>
          <w:b/>
          <w:bCs/>
        </w:rPr>
        <w:t xml:space="preserve"> Aansluiting bij strategie van het adviesbureau (30%)</w:t>
      </w:r>
      <w:r w:rsidR="00E24ACA">
        <w:rPr>
          <w:b/>
          <w:bCs/>
        </w:rPr>
        <w:t>:</w:t>
      </w:r>
    </w:p>
    <w:p w14:paraId="53DA0D55" w14:textId="0F5DAE8D" w:rsidR="00FA55E4" w:rsidRPr="00FA55E4" w:rsidRDefault="00FA55E4" w:rsidP="00FA55E4">
      <w:r w:rsidRPr="008B7FF1">
        <w:rPr>
          <w:b/>
          <w:bCs/>
        </w:rPr>
        <w:t xml:space="preserve">BGF </w:t>
      </w:r>
      <w:proofErr w:type="spellStart"/>
      <w:r w:rsidRPr="008B7FF1">
        <w:rPr>
          <w:b/>
          <w:bCs/>
        </w:rPr>
        <w:t>Sustainable</w:t>
      </w:r>
      <w:proofErr w:type="spellEnd"/>
      <w:r w:rsidRPr="008B7FF1">
        <w:rPr>
          <w:b/>
          <w:bCs/>
        </w:rPr>
        <w:t xml:space="preserve"> Energy Fund</w:t>
      </w:r>
      <w:r w:rsidRPr="00FA55E4">
        <w:br/>
        <w:t>Het fonds belegt in beursgenoteerde ondernemingen die profiteren van de energietransitie; duurzame energie is het centrale thema en het fonds geldt als SFDR-artikel 9 (</w:t>
      </w:r>
      <w:proofErr w:type="spellStart"/>
      <w:r w:rsidRPr="00FA55E4">
        <w:t>BlackRock</w:t>
      </w:r>
      <w:proofErr w:type="spellEnd"/>
      <w:r w:rsidRPr="00FA55E4">
        <w:t xml:space="preserve">, 2025c; 2025d). </w:t>
      </w:r>
      <w:r w:rsidRPr="00FA55E4">
        <w:br/>
        <w:t>De focus ligt echter primair op aandelenrendement, met impact vooral via de bedrijfsactiviteiten van de portefeuillebedrijven.</w:t>
      </w:r>
    </w:p>
    <w:p w14:paraId="30C203DB" w14:textId="211CE77B" w:rsidR="00C57DD2" w:rsidRPr="00162DCF" w:rsidRDefault="00FA55E4" w:rsidP="00FA55E4">
      <w:r w:rsidRPr="008B7FF1">
        <w:rPr>
          <w:b/>
          <w:bCs/>
        </w:rPr>
        <w:t xml:space="preserve">Triodos Energy </w:t>
      </w:r>
      <w:proofErr w:type="spellStart"/>
      <w:r w:rsidRPr="008B7FF1">
        <w:rPr>
          <w:b/>
          <w:bCs/>
        </w:rPr>
        <w:t>Transition</w:t>
      </w:r>
      <w:proofErr w:type="spellEnd"/>
      <w:r w:rsidRPr="008B7FF1">
        <w:rPr>
          <w:b/>
          <w:bCs/>
        </w:rPr>
        <w:t xml:space="preserve"> Europe Fund</w:t>
      </w:r>
      <w:r w:rsidRPr="00FA55E4">
        <w:br/>
        <w:t xml:space="preserve">Triodos presenteert concrete impactcijfers: het fonds draagt bij aan de financiering van wind- en zonneparken en andere projecten, met gemeten CO₂-reductie en productie van duurzame energie voor tienduizenden huishoudens (Triodos IM, 2024; Triodos Bank, 2025a; 2025d). </w:t>
      </w:r>
      <w:r w:rsidRPr="00FA55E4">
        <w:br/>
        <w:t>De beleggingsstrategie is daardoor rechtstreeks gekoppeld aan fysieke klimaatoplossingen, wat nauw aansluit bij een advieskantoor dat zich duurzaam en impactgericht profileert.</w:t>
      </w:r>
    </w:p>
    <w:p w14:paraId="441AC7C4" w14:textId="64FBF3BA" w:rsidR="00FA55E4" w:rsidRPr="00FA55E4" w:rsidRDefault="00FA55E4" w:rsidP="00FA55E4">
      <w:r w:rsidRPr="008B7FF1">
        <w:rPr>
          <w:b/>
          <w:bCs/>
        </w:rPr>
        <w:t>Beoordeling:</w:t>
      </w:r>
      <w:r w:rsidRPr="00FA55E4">
        <w:br/>
        <w:t xml:space="preserve">Op criterium 4 sluit Triodos Energy </w:t>
      </w:r>
      <w:proofErr w:type="spellStart"/>
      <w:r w:rsidRPr="00FA55E4">
        <w:t>Transition</w:t>
      </w:r>
      <w:proofErr w:type="spellEnd"/>
      <w:r w:rsidRPr="00FA55E4">
        <w:t xml:space="preserve"> Europe Fund het beste aan bij de strategie van </w:t>
      </w:r>
      <w:proofErr w:type="spellStart"/>
      <w:r w:rsidRPr="00FA55E4">
        <w:t>Vermogenthuis</w:t>
      </w:r>
      <w:proofErr w:type="spellEnd"/>
      <w:r w:rsidRPr="00FA55E4">
        <w:t>: expliciete impact, Europese focus en duidelijke koppeling tussen investering en klimaatdoelen.</w:t>
      </w:r>
    </w:p>
    <w:p w14:paraId="225B9BB7" w14:textId="77777777" w:rsidR="008B7FF1" w:rsidRDefault="008B7FF1" w:rsidP="00FA55E4"/>
    <w:p w14:paraId="46FD8949" w14:textId="77777777" w:rsidR="00162DCF" w:rsidRDefault="00162DCF" w:rsidP="00FA55E4"/>
    <w:p w14:paraId="1E10012A" w14:textId="77777777" w:rsidR="00162DCF" w:rsidRDefault="00162DCF" w:rsidP="00FA55E4"/>
    <w:p w14:paraId="6E7B3CAC" w14:textId="77777777" w:rsidR="00162DCF" w:rsidRDefault="00162DCF" w:rsidP="00FA55E4"/>
    <w:p w14:paraId="348A5FE6" w14:textId="77777777" w:rsidR="00162DCF" w:rsidRPr="00FA55E4" w:rsidRDefault="00162DCF" w:rsidP="00FA55E4"/>
    <w:p w14:paraId="7367FBB4" w14:textId="6189B62A" w:rsidR="00FA55E4" w:rsidRPr="008B7FF1" w:rsidRDefault="00FA55E4" w:rsidP="00FA55E4">
      <w:pPr>
        <w:rPr>
          <w:b/>
          <w:bCs/>
        </w:rPr>
      </w:pPr>
      <w:r w:rsidRPr="008B7FF1">
        <w:rPr>
          <w:b/>
          <w:bCs/>
        </w:rPr>
        <w:t>5</w:t>
      </w:r>
      <w:r w:rsidR="008B7FF1" w:rsidRPr="008B7FF1">
        <w:rPr>
          <w:b/>
          <w:bCs/>
        </w:rPr>
        <w:t>.</w:t>
      </w:r>
      <w:r w:rsidRPr="008B7FF1">
        <w:rPr>
          <w:b/>
          <w:bCs/>
        </w:rPr>
        <w:t xml:space="preserve"> Klimaatrisico’s (10%)</w:t>
      </w:r>
      <w:r w:rsidR="008B7FF1" w:rsidRPr="008B7FF1">
        <w:rPr>
          <w:b/>
          <w:bCs/>
        </w:rPr>
        <w:t>:</w:t>
      </w:r>
    </w:p>
    <w:p w14:paraId="77300E11" w14:textId="7B1E4857" w:rsidR="00FA55E4" w:rsidRPr="00FA55E4" w:rsidRDefault="00FA55E4" w:rsidP="00FA55E4">
      <w:r w:rsidRPr="008B7FF1">
        <w:rPr>
          <w:b/>
          <w:bCs/>
        </w:rPr>
        <w:t xml:space="preserve">BGF </w:t>
      </w:r>
      <w:proofErr w:type="spellStart"/>
      <w:r w:rsidRPr="008B7FF1">
        <w:rPr>
          <w:b/>
          <w:bCs/>
        </w:rPr>
        <w:t>Sustainable</w:t>
      </w:r>
      <w:proofErr w:type="spellEnd"/>
      <w:r w:rsidRPr="008B7FF1">
        <w:rPr>
          <w:b/>
          <w:bCs/>
        </w:rPr>
        <w:t xml:space="preserve"> Energy Fund</w:t>
      </w:r>
      <w:r w:rsidRPr="00FA55E4">
        <w:br/>
        <w:t>Het fonds investeert in bedrijven die profiteren van de energietransitie; klimaatrisico’s worden meegenomen via ESG-analyse en toepassing van een Paris-</w:t>
      </w:r>
      <w:proofErr w:type="spellStart"/>
      <w:r w:rsidRPr="00FA55E4">
        <w:t>Aligned</w:t>
      </w:r>
      <w:proofErr w:type="spellEnd"/>
      <w:r w:rsidRPr="00FA55E4">
        <w:t xml:space="preserve"> Benchmark-exclusiebeleid (</w:t>
      </w:r>
      <w:proofErr w:type="spellStart"/>
      <w:r w:rsidRPr="00FA55E4">
        <w:t>BlackRock</w:t>
      </w:r>
      <w:proofErr w:type="spellEnd"/>
      <w:r w:rsidRPr="00FA55E4">
        <w:t xml:space="preserve">, 2025d). </w:t>
      </w:r>
    </w:p>
    <w:p w14:paraId="09988EC0" w14:textId="53CA1EB3" w:rsidR="00FA55E4" w:rsidRPr="00FA55E4" w:rsidRDefault="00FA55E4" w:rsidP="00FA55E4">
      <w:r w:rsidRPr="008B7FF1">
        <w:rPr>
          <w:b/>
          <w:bCs/>
        </w:rPr>
        <w:t xml:space="preserve">Triodos Energy </w:t>
      </w:r>
      <w:proofErr w:type="spellStart"/>
      <w:r w:rsidRPr="008B7FF1">
        <w:rPr>
          <w:b/>
          <w:bCs/>
        </w:rPr>
        <w:t>Transition</w:t>
      </w:r>
      <w:proofErr w:type="spellEnd"/>
      <w:r w:rsidRPr="008B7FF1">
        <w:rPr>
          <w:b/>
          <w:bCs/>
        </w:rPr>
        <w:t xml:space="preserve"> Europe Fund</w:t>
      </w:r>
      <w:r w:rsidRPr="00FA55E4">
        <w:br/>
        <w:t xml:space="preserve">Triodos rapporteert klimaatrisico’s en -kansen expliciet via impactrapportages en benoemt de bijdrage aan CO₂-reductie als kernindicator (Triodos IM, 2024). </w:t>
      </w:r>
    </w:p>
    <w:p w14:paraId="3CA916DE" w14:textId="77777777" w:rsidR="00FA55E4" w:rsidRPr="00FA55E4" w:rsidRDefault="00FA55E4" w:rsidP="00FA55E4">
      <w:r w:rsidRPr="008B7FF1">
        <w:rPr>
          <w:b/>
          <w:bCs/>
        </w:rPr>
        <w:t>Beoordeling:</w:t>
      </w:r>
      <w:r w:rsidRPr="00FA55E4">
        <w:br/>
        <w:t>Hoewel beide fondsen klimaatrisico’s adresseren, is de rapportage bij Triodos concreter en directer gekoppeld aan fysieke klimaatoplossingen, waardoor dit fonds op criterium 5 hoger scoort.</w:t>
      </w:r>
    </w:p>
    <w:p w14:paraId="3DDF288D" w14:textId="5B076A68" w:rsidR="00FA55E4" w:rsidRPr="00FA55E4" w:rsidRDefault="00FA55E4" w:rsidP="00FA55E4"/>
    <w:p w14:paraId="35238443" w14:textId="468A0EB1" w:rsidR="00FA55E4" w:rsidRPr="00A52FC1" w:rsidRDefault="00FA55E4" w:rsidP="00FA55E4">
      <w:pPr>
        <w:rPr>
          <w:b/>
          <w:bCs/>
        </w:rPr>
      </w:pPr>
      <w:r w:rsidRPr="00A52FC1">
        <w:rPr>
          <w:b/>
          <w:bCs/>
        </w:rPr>
        <w:t>3.6 Klantcommunicatie (10%)</w:t>
      </w:r>
      <w:r w:rsidR="00A52FC1">
        <w:rPr>
          <w:b/>
          <w:bCs/>
        </w:rPr>
        <w:t>:</w:t>
      </w:r>
    </w:p>
    <w:p w14:paraId="2E95CC6B" w14:textId="39628041" w:rsidR="00FA55E4" w:rsidRPr="00FA55E4" w:rsidRDefault="00FA55E4" w:rsidP="00FA55E4">
      <w:r w:rsidRPr="00A52FC1">
        <w:rPr>
          <w:b/>
          <w:bCs/>
        </w:rPr>
        <w:t xml:space="preserve">BGF </w:t>
      </w:r>
      <w:proofErr w:type="spellStart"/>
      <w:r w:rsidRPr="00A52FC1">
        <w:rPr>
          <w:b/>
          <w:bCs/>
        </w:rPr>
        <w:t>Sustainable</w:t>
      </w:r>
      <w:proofErr w:type="spellEnd"/>
      <w:r w:rsidRPr="00A52FC1">
        <w:rPr>
          <w:b/>
          <w:bCs/>
        </w:rPr>
        <w:t xml:space="preserve"> Energy Fund</w:t>
      </w:r>
      <w:r w:rsidRPr="00FA55E4">
        <w:br/>
        <w:t>De documentatie (</w:t>
      </w:r>
      <w:proofErr w:type="spellStart"/>
      <w:r w:rsidRPr="00FA55E4">
        <w:t>factsheets</w:t>
      </w:r>
      <w:proofErr w:type="spellEnd"/>
      <w:r w:rsidRPr="00FA55E4">
        <w:t>, KID) is duidelijk, maar voornamelijk Engelstalig en geschreven voor een internationaal, deels institutioneel publiek (</w:t>
      </w:r>
      <w:proofErr w:type="spellStart"/>
      <w:r w:rsidRPr="00FA55E4">
        <w:t>BlackRock</w:t>
      </w:r>
      <w:proofErr w:type="spellEnd"/>
      <w:r w:rsidRPr="00FA55E4">
        <w:t xml:space="preserve">, 2025b; 2025c). </w:t>
      </w:r>
    </w:p>
    <w:p w14:paraId="43CFE2B0" w14:textId="12DF234B" w:rsidR="00FA55E4" w:rsidRPr="00FA55E4" w:rsidRDefault="00FA55E4" w:rsidP="00FA55E4">
      <w:r w:rsidRPr="00A52FC1">
        <w:rPr>
          <w:b/>
          <w:bCs/>
        </w:rPr>
        <w:t xml:space="preserve">Triodos Energy </w:t>
      </w:r>
      <w:proofErr w:type="spellStart"/>
      <w:r w:rsidRPr="00A52FC1">
        <w:rPr>
          <w:b/>
          <w:bCs/>
        </w:rPr>
        <w:t>Transition</w:t>
      </w:r>
      <w:proofErr w:type="spellEnd"/>
      <w:r w:rsidRPr="00A52FC1">
        <w:rPr>
          <w:b/>
          <w:bCs/>
        </w:rPr>
        <w:t xml:space="preserve"> Europe Fund</w:t>
      </w:r>
      <w:r w:rsidRPr="00FA55E4">
        <w:br/>
        <w:t xml:space="preserve">Triodos levert Nederlandstalige webpagina’s, duidelijke uitleg over risico’s, rendementen en impact, plus een impactrapport dat toegankelijk is voor particuliere beleggers (Triodos Bank, 2025a; Triodos IM, 2024). </w:t>
      </w:r>
    </w:p>
    <w:p w14:paraId="19384E29" w14:textId="77777777" w:rsidR="00FA55E4" w:rsidRPr="00FA55E4" w:rsidRDefault="00FA55E4" w:rsidP="00FA55E4">
      <w:r w:rsidRPr="00A52FC1">
        <w:rPr>
          <w:b/>
          <w:bCs/>
        </w:rPr>
        <w:t>Beoordeling:</w:t>
      </w:r>
      <w:r w:rsidRPr="00FA55E4">
        <w:br/>
        <w:t xml:space="preserve">Voor de doelgroep van </w:t>
      </w:r>
      <w:proofErr w:type="spellStart"/>
      <w:r w:rsidRPr="00FA55E4">
        <w:t>Vermogenthuis</w:t>
      </w:r>
      <w:proofErr w:type="spellEnd"/>
      <w:r w:rsidRPr="00FA55E4">
        <w:t xml:space="preserve"> (Nederlandstalige klanten met interesse in duurzaam beleggen) is de communicatie van Triodos beter vindbaar, begrijpelijker en meer impactgericht. Triodos scoort daarom hoger op criterium 6.</w:t>
      </w:r>
    </w:p>
    <w:p w14:paraId="201B34AB" w14:textId="1559BA62" w:rsidR="00FA55E4" w:rsidRDefault="00FA55E4" w:rsidP="00FA55E4"/>
    <w:p w14:paraId="0DA56CA4" w14:textId="77777777" w:rsidR="00A52FC1" w:rsidRDefault="00A52FC1" w:rsidP="00FA55E4"/>
    <w:p w14:paraId="4C86AFFF" w14:textId="77777777" w:rsidR="00A52FC1" w:rsidRDefault="00A52FC1" w:rsidP="00FA55E4"/>
    <w:p w14:paraId="46C74A27" w14:textId="77777777" w:rsidR="00162DCF" w:rsidRDefault="00162DCF" w:rsidP="00FA55E4"/>
    <w:p w14:paraId="235BAB83" w14:textId="77777777" w:rsidR="00162DCF" w:rsidRDefault="00162DCF" w:rsidP="00FA55E4"/>
    <w:p w14:paraId="790FC3D6" w14:textId="77777777" w:rsidR="00162DCF" w:rsidRPr="00FA55E4" w:rsidRDefault="00162DCF" w:rsidP="00FA55E4"/>
    <w:p w14:paraId="4EC03952" w14:textId="63CA9466" w:rsidR="00FA55E4" w:rsidRPr="00A52FC1" w:rsidRDefault="00A52FC1" w:rsidP="00A52FC1">
      <w:pPr>
        <w:pStyle w:val="Heading2"/>
        <w:rPr>
          <w:sz w:val="32"/>
          <w:szCs w:val="32"/>
        </w:rPr>
      </w:pPr>
      <w:bookmarkStart w:id="21" w:name="_Toc218449560"/>
      <w:r w:rsidRPr="00A52FC1">
        <w:rPr>
          <w:sz w:val="32"/>
          <w:szCs w:val="32"/>
        </w:rPr>
        <w:t>5.1</w:t>
      </w:r>
      <w:r w:rsidR="00FA55E4" w:rsidRPr="00A52FC1">
        <w:rPr>
          <w:sz w:val="32"/>
          <w:szCs w:val="32"/>
        </w:rPr>
        <w:t xml:space="preserve"> </w:t>
      </w:r>
      <w:r>
        <w:rPr>
          <w:sz w:val="32"/>
          <w:szCs w:val="32"/>
        </w:rPr>
        <w:t>C</w:t>
      </w:r>
      <w:r w:rsidR="00FA55E4" w:rsidRPr="00A52FC1">
        <w:rPr>
          <w:sz w:val="32"/>
          <w:szCs w:val="32"/>
        </w:rPr>
        <w:t>onclusie speciale fondsen</w:t>
      </w:r>
      <w:bookmarkEnd w:id="21"/>
    </w:p>
    <w:p w14:paraId="3F63D748" w14:textId="77777777" w:rsidR="00FA55E4" w:rsidRPr="00FA55E4" w:rsidRDefault="00FA55E4" w:rsidP="00FA55E4">
      <w:pPr>
        <w:numPr>
          <w:ilvl w:val="0"/>
          <w:numId w:val="6"/>
        </w:numPr>
      </w:pPr>
      <w:r w:rsidRPr="00FA55E4">
        <w:t xml:space="preserve">BGF </w:t>
      </w:r>
      <w:proofErr w:type="spellStart"/>
      <w:r w:rsidRPr="00FA55E4">
        <w:t>Sustainable</w:t>
      </w:r>
      <w:proofErr w:type="spellEnd"/>
      <w:r w:rsidRPr="00FA55E4">
        <w:t xml:space="preserve"> Energy Fund scoort beter op kosten en levert potentieel hogere rendementen, maar met hoge volatiliteit.</w:t>
      </w:r>
    </w:p>
    <w:p w14:paraId="7446AC7C" w14:textId="77777777" w:rsidR="00FA55E4" w:rsidRPr="00FA55E4" w:rsidRDefault="00FA55E4" w:rsidP="00FA55E4">
      <w:pPr>
        <w:numPr>
          <w:ilvl w:val="0"/>
          <w:numId w:val="6"/>
        </w:numPr>
      </w:pPr>
      <w:r w:rsidRPr="00FA55E4">
        <w:t xml:space="preserve">Triodos Energy </w:t>
      </w:r>
      <w:proofErr w:type="spellStart"/>
      <w:r w:rsidRPr="00FA55E4">
        <w:t>Transition</w:t>
      </w:r>
      <w:proofErr w:type="spellEnd"/>
      <w:r w:rsidRPr="00FA55E4">
        <w:t xml:space="preserve"> Europe Fund scoort duidelijk beter op aansluiting bij strategie, klimaatrisico’s en klantcommunicatie, met een meer gematigd risicoprofiel.</w:t>
      </w:r>
    </w:p>
    <w:p w14:paraId="71B39B2B" w14:textId="1E7FDD68" w:rsidR="00FA55E4" w:rsidRDefault="00FA55E4" w:rsidP="00A52FC1">
      <w:r w:rsidRPr="00FA55E4">
        <w:t xml:space="preserve">Gegeven de wegingen (30% strategie, 10% klimaat, 10% communicatie) is het verdedigbaar dat Triodos Energy </w:t>
      </w:r>
      <w:proofErr w:type="spellStart"/>
      <w:r w:rsidRPr="00FA55E4">
        <w:t>Transition</w:t>
      </w:r>
      <w:proofErr w:type="spellEnd"/>
      <w:r w:rsidRPr="00FA55E4">
        <w:t xml:space="preserve"> Europe Fund in de beslissingsmatrix als beste speciale fonds naar voren komt voor </w:t>
      </w:r>
      <w:proofErr w:type="spellStart"/>
      <w:r w:rsidRPr="00FA55E4">
        <w:t>Vermogenthuis</w:t>
      </w:r>
      <w:proofErr w:type="spellEnd"/>
      <w:r w:rsidRPr="00FA55E4">
        <w:t>.</w:t>
      </w:r>
    </w:p>
    <w:p w14:paraId="62CF1F00" w14:textId="77777777" w:rsidR="00A52FC1" w:rsidRDefault="00A52FC1" w:rsidP="00A52FC1"/>
    <w:p w14:paraId="624022A3" w14:textId="77777777" w:rsidR="00A52FC1" w:rsidRDefault="00A52FC1" w:rsidP="00A52FC1"/>
    <w:p w14:paraId="5E0DEB6F" w14:textId="77777777" w:rsidR="00A52FC1" w:rsidRDefault="00A52FC1" w:rsidP="00A52FC1"/>
    <w:p w14:paraId="4C46ED47" w14:textId="77777777" w:rsidR="00A52FC1" w:rsidRDefault="00A52FC1" w:rsidP="00A52FC1"/>
    <w:p w14:paraId="05EF937B" w14:textId="77777777" w:rsidR="00A52FC1" w:rsidRDefault="00A52FC1" w:rsidP="00A52FC1"/>
    <w:p w14:paraId="495AA3B7" w14:textId="77777777" w:rsidR="00A52FC1" w:rsidRDefault="00A52FC1" w:rsidP="00A52FC1"/>
    <w:p w14:paraId="113834A1" w14:textId="77777777" w:rsidR="00A52FC1" w:rsidRDefault="00A52FC1" w:rsidP="00A52FC1"/>
    <w:p w14:paraId="40CD94DB" w14:textId="77777777" w:rsidR="00A52FC1" w:rsidRDefault="00A52FC1" w:rsidP="00A52FC1"/>
    <w:p w14:paraId="5660869D" w14:textId="77777777" w:rsidR="00A52FC1" w:rsidRDefault="00A52FC1" w:rsidP="00A52FC1"/>
    <w:p w14:paraId="6CD253BE" w14:textId="77777777" w:rsidR="00A52FC1" w:rsidRDefault="00A52FC1" w:rsidP="00A52FC1"/>
    <w:p w14:paraId="44225E70" w14:textId="77777777" w:rsidR="00A52FC1" w:rsidRDefault="00A52FC1" w:rsidP="00A52FC1"/>
    <w:p w14:paraId="5CA8C553" w14:textId="77777777" w:rsidR="00A52FC1" w:rsidRDefault="00A52FC1" w:rsidP="00A52FC1"/>
    <w:p w14:paraId="0A5CC63E" w14:textId="77777777" w:rsidR="00A52FC1" w:rsidRDefault="00A52FC1" w:rsidP="00A52FC1"/>
    <w:p w14:paraId="0E79280F" w14:textId="77777777" w:rsidR="00A52FC1" w:rsidRDefault="00A52FC1" w:rsidP="00A52FC1"/>
    <w:p w14:paraId="4EA2EE3C" w14:textId="77777777" w:rsidR="00A52FC1" w:rsidRDefault="00A52FC1" w:rsidP="00A52FC1"/>
    <w:p w14:paraId="4BB22017" w14:textId="77777777" w:rsidR="00A52FC1" w:rsidRDefault="00A52FC1" w:rsidP="00A52FC1"/>
    <w:p w14:paraId="2D0ABD18" w14:textId="77777777" w:rsidR="00A52FC1" w:rsidRDefault="00A52FC1" w:rsidP="00A52FC1"/>
    <w:p w14:paraId="2D839FB2" w14:textId="77777777" w:rsidR="00A52FC1" w:rsidRDefault="00A52FC1" w:rsidP="00A52FC1"/>
    <w:p w14:paraId="5B5222A0" w14:textId="77777777" w:rsidR="00A52FC1" w:rsidRPr="00FA55E4" w:rsidRDefault="00A52FC1" w:rsidP="00A52FC1"/>
    <w:p w14:paraId="1254AC5F" w14:textId="709EA084" w:rsidR="00FA55E4" w:rsidRPr="00FA55E4" w:rsidRDefault="00A52FC1" w:rsidP="00A52FC1">
      <w:pPr>
        <w:pStyle w:val="Heading1"/>
      </w:pPr>
      <w:bookmarkStart w:id="22" w:name="_Toc218449561"/>
      <w:r>
        <w:t xml:space="preserve">6. </w:t>
      </w:r>
      <w:r w:rsidR="00FA55E4" w:rsidRPr="00FA55E4">
        <w:t xml:space="preserve"> Samenvattende </w:t>
      </w:r>
      <w:r>
        <w:t>conclusie</w:t>
      </w:r>
      <w:r w:rsidR="00125643">
        <w:t xml:space="preserve"> aandelenfondsen</w:t>
      </w:r>
      <w:bookmarkEnd w:id="22"/>
    </w:p>
    <w:p w14:paraId="556573C7" w14:textId="77777777" w:rsidR="00FA55E4" w:rsidRPr="00FA55E4" w:rsidRDefault="00FA55E4" w:rsidP="00FA55E4">
      <w:pPr>
        <w:numPr>
          <w:ilvl w:val="0"/>
          <w:numId w:val="7"/>
        </w:numPr>
      </w:pPr>
      <w:r w:rsidRPr="00FA55E4">
        <w:t>Wereldwijd aandelenfonds (</w:t>
      </w:r>
      <w:proofErr w:type="spellStart"/>
      <w:r w:rsidRPr="00FA55E4">
        <w:t>BlackRock</w:t>
      </w:r>
      <w:proofErr w:type="spellEnd"/>
      <w:r w:rsidRPr="00FA55E4">
        <w:t xml:space="preserve"> </w:t>
      </w:r>
      <w:proofErr w:type="spellStart"/>
      <w:r w:rsidRPr="00FA55E4">
        <w:t>vs</w:t>
      </w:r>
      <w:proofErr w:type="spellEnd"/>
      <w:r w:rsidRPr="00FA55E4">
        <w:t xml:space="preserve"> Triodos):</w:t>
      </w:r>
    </w:p>
    <w:p w14:paraId="30178D22" w14:textId="77777777" w:rsidR="00FA55E4" w:rsidRPr="00FA55E4" w:rsidRDefault="00FA55E4" w:rsidP="00FA55E4">
      <w:pPr>
        <w:numPr>
          <w:ilvl w:val="1"/>
          <w:numId w:val="7"/>
        </w:numPr>
        <w:rPr>
          <w:lang w:val="en-US"/>
        </w:rPr>
      </w:pPr>
      <w:proofErr w:type="spellStart"/>
      <w:r w:rsidRPr="00FA55E4">
        <w:rPr>
          <w:lang w:val="en-US"/>
        </w:rPr>
        <w:t>Financieel</w:t>
      </w:r>
      <w:proofErr w:type="spellEnd"/>
      <w:r w:rsidRPr="00FA55E4">
        <w:rPr>
          <w:lang w:val="en-US"/>
        </w:rPr>
        <w:t xml:space="preserve"> </w:t>
      </w:r>
      <w:proofErr w:type="spellStart"/>
      <w:r w:rsidRPr="00FA55E4">
        <w:rPr>
          <w:lang w:val="en-US"/>
        </w:rPr>
        <w:t>beste</w:t>
      </w:r>
      <w:proofErr w:type="spellEnd"/>
      <w:r w:rsidRPr="00FA55E4">
        <w:rPr>
          <w:lang w:val="en-US"/>
        </w:rPr>
        <w:t xml:space="preserve"> score: iShares Core MSCI World UCITS ETF (IE00B4L5Y983)</w:t>
      </w:r>
    </w:p>
    <w:p w14:paraId="128E2427" w14:textId="0880C2B0" w:rsidR="00FA55E4" w:rsidRPr="00FA55E4" w:rsidRDefault="00FA55E4" w:rsidP="00FA55E4">
      <w:pPr>
        <w:numPr>
          <w:ilvl w:val="1"/>
          <w:numId w:val="7"/>
        </w:numPr>
        <w:rPr>
          <w:lang w:val="en-US"/>
        </w:rPr>
      </w:pPr>
      <w:proofErr w:type="spellStart"/>
      <w:r w:rsidRPr="00FA55E4">
        <w:rPr>
          <w:lang w:val="en-US"/>
        </w:rPr>
        <w:t>Duurzaamhei</w:t>
      </w:r>
      <w:r w:rsidR="00003051">
        <w:rPr>
          <w:lang w:val="en-US"/>
        </w:rPr>
        <w:t>d</w:t>
      </w:r>
      <w:proofErr w:type="spellEnd"/>
      <w:r w:rsidR="00003051">
        <w:rPr>
          <w:lang w:val="en-US"/>
        </w:rPr>
        <w:t xml:space="preserve"> </w:t>
      </w:r>
      <w:proofErr w:type="spellStart"/>
      <w:r w:rsidR="00003051">
        <w:rPr>
          <w:lang w:val="en-US"/>
        </w:rPr>
        <w:t>beste</w:t>
      </w:r>
      <w:proofErr w:type="spellEnd"/>
      <w:r w:rsidR="00003051">
        <w:rPr>
          <w:lang w:val="en-US"/>
        </w:rPr>
        <w:t xml:space="preserve"> </w:t>
      </w:r>
      <w:r w:rsidR="0003046F">
        <w:rPr>
          <w:lang w:val="en-US"/>
        </w:rPr>
        <w:t>score</w:t>
      </w:r>
      <w:r w:rsidRPr="00FA55E4">
        <w:rPr>
          <w:lang w:val="en-US"/>
        </w:rPr>
        <w:t xml:space="preserve">: </w:t>
      </w:r>
      <w:proofErr w:type="spellStart"/>
      <w:r w:rsidRPr="00FA55E4">
        <w:rPr>
          <w:lang w:val="en-US"/>
        </w:rPr>
        <w:t>Triodos</w:t>
      </w:r>
      <w:proofErr w:type="spellEnd"/>
      <w:r w:rsidRPr="00FA55E4">
        <w:rPr>
          <w:lang w:val="en-US"/>
        </w:rPr>
        <w:t xml:space="preserve"> Global Equities Impact Fund</w:t>
      </w:r>
    </w:p>
    <w:p w14:paraId="720D94A0" w14:textId="32B37CB4" w:rsidR="00FA55E4" w:rsidRPr="00FA55E4" w:rsidRDefault="00FA55E4" w:rsidP="00FA55E4">
      <w:pPr>
        <w:numPr>
          <w:ilvl w:val="1"/>
          <w:numId w:val="7"/>
        </w:numPr>
      </w:pPr>
      <w:proofErr w:type="spellStart"/>
      <w:r w:rsidRPr="00942B0E">
        <w:rPr>
          <w:lang w:val="en-US"/>
        </w:rPr>
        <w:t>Gekozen</w:t>
      </w:r>
      <w:proofErr w:type="spellEnd"/>
      <w:r w:rsidRPr="00942B0E">
        <w:rPr>
          <w:lang w:val="en-US"/>
        </w:rPr>
        <w:t xml:space="preserve"> fonds: </w:t>
      </w:r>
      <w:r w:rsidRPr="00942B0E">
        <w:rPr>
          <w:i/>
          <w:iCs/>
          <w:lang w:val="en-US"/>
        </w:rPr>
        <w:t>iShares Core MSCI World UCITS ETF</w:t>
      </w:r>
      <w:r w:rsidR="00942B0E" w:rsidRPr="00942B0E">
        <w:rPr>
          <w:lang w:val="en-US"/>
        </w:rPr>
        <w:t xml:space="preserve">. </w:t>
      </w:r>
      <w:r w:rsidR="00942B0E" w:rsidRPr="00942B0E">
        <w:t>D</w:t>
      </w:r>
      <w:r w:rsidR="00942B0E">
        <w:t xml:space="preserve">eze </w:t>
      </w:r>
      <w:r w:rsidRPr="00FA55E4">
        <w:t xml:space="preserve">ETF </w:t>
      </w:r>
      <w:r w:rsidR="00942B0E">
        <w:t xml:space="preserve">is </w:t>
      </w:r>
      <w:r w:rsidRPr="00FA55E4">
        <w:t xml:space="preserve">financieel en fiscaal het meest geschikt als </w:t>
      </w:r>
      <w:r w:rsidR="00942B0E">
        <w:t xml:space="preserve">beleggingsproduct voor de doelgroep van </w:t>
      </w:r>
      <w:proofErr w:type="spellStart"/>
      <w:r w:rsidR="00942B0E">
        <w:t>Vermogenthuis</w:t>
      </w:r>
      <w:proofErr w:type="spellEnd"/>
      <w:r w:rsidR="00942B0E">
        <w:t xml:space="preserve">. </w:t>
      </w:r>
    </w:p>
    <w:p w14:paraId="0E0BC1A1" w14:textId="77777777" w:rsidR="00FA55E4" w:rsidRPr="00FA55E4" w:rsidRDefault="00FA55E4" w:rsidP="00FA55E4">
      <w:pPr>
        <w:numPr>
          <w:ilvl w:val="0"/>
          <w:numId w:val="7"/>
        </w:numPr>
      </w:pPr>
      <w:r w:rsidRPr="00FA55E4">
        <w:t>Speciaal duurzaam fonds (</w:t>
      </w:r>
      <w:proofErr w:type="spellStart"/>
      <w:r w:rsidRPr="00FA55E4">
        <w:t>BlackRock</w:t>
      </w:r>
      <w:proofErr w:type="spellEnd"/>
      <w:r w:rsidRPr="00FA55E4">
        <w:t xml:space="preserve"> </w:t>
      </w:r>
      <w:proofErr w:type="spellStart"/>
      <w:r w:rsidRPr="00FA55E4">
        <w:t>vs</w:t>
      </w:r>
      <w:proofErr w:type="spellEnd"/>
      <w:r w:rsidRPr="00FA55E4">
        <w:t xml:space="preserve"> Triodos):</w:t>
      </w:r>
    </w:p>
    <w:p w14:paraId="740FE892" w14:textId="77777777" w:rsidR="00FA55E4" w:rsidRPr="00FA55E4" w:rsidRDefault="00FA55E4" w:rsidP="00FA55E4">
      <w:pPr>
        <w:numPr>
          <w:ilvl w:val="1"/>
          <w:numId w:val="7"/>
        </w:numPr>
      </w:pPr>
      <w:r w:rsidRPr="00FA55E4">
        <w:t xml:space="preserve">Meer rendementspotentieel + lagere kosten: BGF </w:t>
      </w:r>
      <w:proofErr w:type="spellStart"/>
      <w:r w:rsidRPr="00FA55E4">
        <w:t>Sustainable</w:t>
      </w:r>
      <w:proofErr w:type="spellEnd"/>
      <w:r w:rsidRPr="00FA55E4">
        <w:t xml:space="preserve"> Energy Fund</w:t>
      </w:r>
    </w:p>
    <w:p w14:paraId="215A13E4" w14:textId="77777777" w:rsidR="00FA55E4" w:rsidRPr="00FA55E4" w:rsidRDefault="00FA55E4" w:rsidP="00FA55E4">
      <w:pPr>
        <w:numPr>
          <w:ilvl w:val="1"/>
          <w:numId w:val="7"/>
        </w:numPr>
      </w:pPr>
      <w:r w:rsidRPr="00FA55E4">
        <w:t xml:space="preserve">Beter passend bij duurzame missie en impactverhaal: Triodos Energy </w:t>
      </w:r>
      <w:proofErr w:type="spellStart"/>
      <w:r w:rsidRPr="00FA55E4">
        <w:t>Transition</w:t>
      </w:r>
      <w:proofErr w:type="spellEnd"/>
      <w:r w:rsidRPr="00FA55E4">
        <w:t xml:space="preserve"> Europe Fund</w:t>
      </w:r>
    </w:p>
    <w:p w14:paraId="4802FCDE" w14:textId="642095EF" w:rsidR="00A4024C" w:rsidRPr="00A4024C" w:rsidRDefault="00FA55E4" w:rsidP="00A4024C">
      <w:pPr>
        <w:numPr>
          <w:ilvl w:val="1"/>
          <w:numId w:val="7"/>
        </w:numPr>
      </w:pPr>
      <w:r w:rsidRPr="00FA55E4">
        <w:t xml:space="preserve">Gekozen fonds: </w:t>
      </w:r>
      <w:r w:rsidRPr="00FA55E4">
        <w:rPr>
          <w:i/>
          <w:iCs/>
        </w:rPr>
        <w:t xml:space="preserve">Triodos Energy </w:t>
      </w:r>
      <w:proofErr w:type="spellStart"/>
      <w:r w:rsidRPr="00FA55E4">
        <w:rPr>
          <w:i/>
          <w:iCs/>
        </w:rPr>
        <w:t>Transition</w:t>
      </w:r>
      <w:proofErr w:type="spellEnd"/>
      <w:r w:rsidRPr="00FA55E4">
        <w:rPr>
          <w:i/>
          <w:iCs/>
        </w:rPr>
        <w:t xml:space="preserve"> Europe Fund</w:t>
      </w:r>
    </w:p>
    <w:p w14:paraId="6A3FB03B" w14:textId="77777777" w:rsidR="00A4024C" w:rsidRDefault="00A4024C" w:rsidP="00A4024C">
      <w:pPr>
        <w:rPr>
          <w:i/>
          <w:iCs/>
        </w:rPr>
      </w:pPr>
    </w:p>
    <w:p w14:paraId="6BB9C5E4" w14:textId="77777777" w:rsidR="00A4024C" w:rsidRDefault="00A4024C" w:rsidP="00A4024C">
      <w:pPr>
        <w:rPr>
          <w:i/>
          <w:iCs/>
        </w:rPr>
      </w:pPr>
    </w:p>
    <w:p w14:paraId="30E81BC7" w14:textId="77777777" w:rsidR="00A4024C" w:rsidRDefault="00A4024C" w:rsidP="00A4024C">
      <w:pPr>
        <w:rPr>
          <w:i/>
          <w:iCs/>
        </w:rPr>
      </w:pPr>
    </w:p>
    <w:p w14:paraId="32DFA036" w14:textId="77777777" w:rsidR="00A4024C" w:rsidRDefault="00A4024C" w:rsidP="00A4024C">
      <w:pPr>
        <w:rPr>
          <w:i/>
          <w:iCs/>
        </w:rPr>
      </w:pPr>
    </w:p>
    <w:p w14:paraId="758B45D3" w14:textId="77777777" w:rsidR="00A4024C" w:rsidRDefault="00A4024C" w:rsidP="00A4024C">
      <w:pPr>
        <w:rPr>
          <w:i/>
          <w:iCs/>
        </w:rPr>
      </w:pPr>
    </w:p>
    <w:p w14:paraId="2DF3BAD5" w14:textId="77777777" w:rsidR="00A4024C" w:rsidRDefault="00A4024C" w:rsidP="00A4024C">
      <w:pPr>
        <w:rPr>
          <w:i/>
          <w:iCs/>
        </w:rPr>
      </w:pPr>
    </w:p>
    <w:p w14:paraId="66C4F95D" w14:textId="77777777" w:rsidR="00A4024C" w:rsidRDefault="00A4024C" w:rsidP="00A4024C">
      <w:pPr>
        <w:rPr>
          <w:i/>
          <w:iCs/>
        </w:rPr>
      </w:pPr>
    </w:p>
    <w:p w14:paraId="541DB02C" w14:textId="77777777" w:rsidR="00A4024C" w:rsidRDefault="00A4024C" w:rsidP="00A4024C">
      <w:pPr>
        <w:rPr>
          <w:i/>
          <w:iCs/>
        </w:rPr>
      </w:pPr>
    </w:p>
    <w:p w14:paraId="1A97E972" w14:textId="77777777" w:rsidR="00A4024C" w:rsidRDefault="00A4024C" w:rsidP="00A4024C">
      <w:pPr>
        <w:rPr>
          <w:i/>
          <w:iCs/>
        </w:rPr>
      </w:pPr>
    </w:p>
    <w:p w14:paraId="446262CE" w14:textId="77777777" w:rsidR="00A4024C" w:rsidRDefault="00A4024C" w:rsidP="00A4024C">
      <w:pPr>
        <w:rPr>
          <w:i/>
          <w:iCs/>
        </w:rPr>
      </w:pPr>
    </w:p>
    <w:p w14:paraId="683F5089" w14:textId="77777777" w:rsidR="00A4024C" w:rsidRDefault="00A4024C" w:rsidP="00A4024C">
      <w:pPr>
        <w:rPr>
          <w:i/>
          <w:iCs/>
        </w:rPr>
      </w:pPr>
    </w:p>
    <w:p w14:paraId="362A9469" w14:textId="77777777" w:rsidR="00A4024C" w:rsidRDefault="00A4024C" w:rsidP="00A4024C">
      <w:pPr>
        <w:rPr>
          <w:i/>
          <w:iCs/>
        </w:rPr>
      </w:pPr>
    </w:p>
    <w:p w14:paraId="118256F8" w14:textId="77777777" w:rsidR="00A4024C" w:rsidRDefault="00A4024C" w:rsidP="00A4024C">
      <w:pPr>
        <w:rPr>
          <w:i/>
          <w:iCs/>
        </w:rPr>
      </w:pPr>
    </w:p>
    <w:p w14:paraId="06C7775E" w14:textId="77777777" w:rsidR="00A4024C" w:rsidRPr="00A4024C" w:rsidRDefault="00A4024C" w:rsidP="00A4024C"/>
    <w:p w14:paraId="0FC22957" w14:textId="1CE2E8A0" w:rsidR="00E74B29" w:rsidRPr="00A4024C" w:rsidRDefault="00A4024C" w:rsidP="00A4024C">
      <w:pPr>
        <w:pStyle w:val="Heading2"/>
      </w:pPr>
      <w:bookmarkStart w:id="23" w:name="_Toc218449562"/>
      <w:r w:rsidRPr="00A4024C">
        <w:rPr>
          <w:sz w:val="32"/>
          <w:szCs w:val="32"/>
          <w:lang w:val="en-US"/>
        </w:rPr>
        <w:t>6.</w:t>
      </w:r>
      <w:r w:rsidR="00E74B29" w:rsidRPr="00A4024C">
        <w:rPr>
          <w:sz w:val="32"/>
          <w:szCs w:val="32"/>
          <w:lang w:val="en-US"/>
        </w:rPr>
        <w:t>1</w:t>
      </w:r>
      <w:r w:rsidRPr="00A4024C">
        <w:rPr>
          <w:sz w:val="32"/>
          <w:szCs w:val="32"/>
          <w:lang w:val="en-US"/>
        </w:rPr>
        <w:t xml:space="preserve"> </w:t>
      </w:r>
      <w:proofErr w:type="spellStart"/>
      <w:r w:rsidR="00E74B29" w:rsidRPr="00A4024C">
        <w:rPr>
          <w:sz w:val="32"/>
          <w:szCs w:val="32"/>
          <w:lang w:val="en-US"/>
        </w:rPr>
        <w:t>Beslissingsmatrix</w:t>
      </w:r>
      <w:proofErr w:type="spellEnd"/>
      <w:r w:rsidR="00E74B29" w:rsidRPr="00A4024C">
        <w:rPr>
          <w:sz w:val="32"/>
          <w:szCs w:val="32"/>
          <w:lang w:val="en-US"/>
        </w:rPr>
        <w:t xml:space="preserve"> – </w:t>
      </w:r>
      <w:proofErr w:type="spellStart"/>
      <w:r w:rsidR="00E74B29" w:rsidRPr="00A4024C">
        <w:rPr>
          <w:sz w:val="32"/>
          <w:szCs w:val="32"/>
          <w:lang w:val="en-US"/>
        </w:rPr>
        <w:t>Wereldwijde</w:t>
      </w:r>
      <w:proofErr w:type="spellEnd"/>
      <w:r w:rsidR="00E74B29" w:rsidRPr="00A4024C">
        <w:rPr>
          <w:sz w:val="32"/>
          <w:szCs w:val="32"/>
          <w:lang w:val="en-US"/>
        </w:rPr>
        <w:t xml:space="preserve"> </w:t>
      </w:r>
      <w:proofErr w:type="spellStart"/>
      <w:r w:rsidR="00E74B29" w:rsidRPr="00A4024C">
        <w:rPr>
          <w:sz w:val="32"/>
          <w:szCs w:val="32"/>
          <w:lang w:val="en-US"/>
        </w:rPr>
        <w:t>aandelenfondsen</w:t>
      </w:r>
      <w:bookmarkEnd w:id="23"/>
      <w:proofErr w:type="spellEnd"/>
    </w:p>
    <w:p w14:paraId="26B8A1A2" w14:textId="77777777" w:rsidR="00E74B29" w:rsidRPr="00E74B29" w:rsidRDefault="00E74B29" w:rsidP="00E74B29">
      <w:pPr>
        <w:rPr>
          <w:lang w:val="en-US"/>
        </w:rPr>
      </w:pPr>
      <w:r w:rsidRPr="00E74B29">
        <w:rPr>
          <w:b/>
          <w:bCs/>
          <w:lang w:val="en-US"/>
        </w:rPr>
        <w:t>iShares Core MSCI World UCITS ETF (BlackRock)</w:t>
      </w:r>
      <w:r w:rsidRPr="00E74B29">
        <w:rPr>
          <w:lang w:val="en-US"/>
        </w:rPr>
        <w:t xml:space="preserve"> vs </w:t>
      </w:r>
      <w:proofErr w:type="spellStart"/>
      <w:r w:rsidRPr="00E74B29">
        <w:rPr>
          <w:b/>
          <w:bCs/>
          <w:lang w:val="en-US"/>
        </w:rPr>
        <w:t>Triodos</w:t>
      </w:r>
      <w:proofErr w:type="spellEnd"/>
      <w:r w:rsidRPr="00E74B29">
        <w:rPr>
          <w:b/>
          <w:bCs/>
          <w:lang w:val="en-US"/>
        </w:rPr>
        <w:t xml:space="preserve"> Global Equities Impact Fund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
        <w:gridCol w:w="2983"/>
        <w:gridCol w:w="753"/>
        <w:gridCol w:w="1090"/>
        <w:gridCol w:w="1327"/>
        <w:gridCol w:w="1114"/>
        <w:gridCol w:w="1346"/>
      </w:tblGrid>
      <w:tr w:rsidR="00E74B29" w:rsidRPr="00E74B29" w14:paraId="08C29027" w14:textId="77777777" w:rsidTr="00E74B29">
        <w:trPr>
          <w:tblHeader/>
          <w:tblCellSpacing w:w="15" w:type="dxa"/>
        </w:trPr>
        <w:tc>
          <w:tcPr>
            <w:tcW w:w="0" w:type="auto"/>
            <w:vAlign w:val="center"/>
            <w:hideMark/>
          </w:tcPr>
          <w:p w14:paraId="09779AA1" w14:textId="77777777" w:rsidR="00E74B29" w:rsidRPr="00E74B29" w:rsidRDefault="00E74B29" w:rsidP="00E74B29">
            <w:pPr>
              <w:rPr>
                <w:b/>
                <w:bCs/>
              </w:rPr>
            </w:pPr>
            <w:r w:rsidRPr="00E74B29">
              <w:rPr>
                <w:b/>
                <w:bCs/>
              </w:rPr>
              <w:t>Nr.</w:t>
            </w:r>
          </w:p>
        </w:tc>
        <w:tc>
          <w:tcPr>
            <w:tcW w:w="0" w:type="auto"/>
            <w:vAlign w:val="center"/>
            <w:hideMark/>
          </w:tcPr>
          <w:p w14:paraId="4C73C750" w14:textId="77777777" w:rsidR="00E74B29" w:rsidRPr="00E74B29" w:rsidRDefault="00E74B29" w:rsidP="00E74B29">
            <w:pPr>
              <w:rPr>
                <w:b/>
                <w:bCs/>
              </w:rPr>
            </w:pPr>
            <w:r w:rsidRPr="00E74B29">
              <w:rPr>
                <w:b/>
                <w:bCs/>
              </w:rPr>
              <w:t>Criterium</w:t>
            </w:r>
          </w:p>
        </w:tc>
        <w:tc>
          <w:tcPr>
            <w:tcW w:w="0" w:type="auto"/>
            <w:vAlign w:val="center"/>
            <w:hideMark/>
          </w:tcPr>
          <w:p w14:paraId="10B22414" w14:textId="77777777" w:rsidR="00E74B29" w:rsidRPr="00E74B29" w:rsidRDefault="00E74B29" w:rsidP="00E74B29">
            <w:pPr>
              <w:rPr>
                <w:b/>
                <w:bCs/>
              </w:rPr>
            </w:pPr>
            <w:proofErr w:type="spellStart"/>
            <w:r w:rsidRPr="00E74B29">
              <w:rPr>
                <w:b/>
                <w:bCs/>
              </w:rPr>
              <w:t>Wegin</w:t>
            </w:r>
            <w:proofErr w:type="spellEnd"/>
            <w:r w:rsidRPr="00E74B29">
              <w:rPr>
                <w:b/>
                <w:bCs/>
              </w:rPr>
              <w:t xml:space="preserve"> g</w:t>
            </w:r>
          </w:p>
        </w:tc>
        <w:tc>
          <w:tcPr>
            <w:tcW w:w="0" w:type="auto"/>
            <w:vAlign w:val="center"/>
            <w:hideMark/>
          </w:tcPr>
          <w:p w14:paraId="1D1EC8D8" w14:textId="77777777" w:rsidR="00E74B29" w:rsidRPr="00E74B29" w:rsidRDefault="00E74B29" w:rsidP="00E74B29">
            <w:pPr>
              <w:rPr>
                <w:b/>
                <w:bCs/>
              </w:rPr>
            </w:pPr>
            <w:proofErr w:type="spellStart"/>
            <w:r w:rsidRPr="00E74B29">
              <w:rPr>
                <w:b/>
                <w:bCs/>
              </w:rPr>
              <w:t>iShares</w:t>
            </w:r>
            <w:proofErr w:type="spellEnd"/>
            <w:r w:rsidRPr="00E74B29">
              <w:rPr>
                <w:b/>
                <w:bCs/>
              </w:rPr>
              <w:t xml:space="preserve"> – Score (1–10)</w:t>
            </w:r>
          </w:p>
        </w:tc>
        <w:tc>
          <w:tcPr>
            <w:tcW w:w="0" w:type="auto"/>
            <w:vAlign w:val="center"/>
            <w:hideMark/>
          </w:tcPr>
          <w:p w14:paraId="410BB513" w14:textId="77777777" w:rsidR="00E74B29" w:rsidRPr="00E74B29" w:rsidRDefault="00E74B29" w:rsidP="00E74B29">
            <w:pPr>
              <w:rPr>
                <w:b/>
                <w:bCs/>
              </w:rPr>
            </w:pPr>
            <w:proofErr w:type="spellStart"/>
            <w:r w:rsidRPr="00E74B29">
              <w:rPr>
                <w:b/>
                <w:bCs/>
              </w:rPr>
              <w:t>iShares</w:t>
            </w:r>
            <w:proofErr w:type="spellEnd"/>
            <w:r w:rsidRPr="00E74B29">
              <w:rPr>
                <w:b/>
                <w:bCs/>
              </w:rPr>
              <w:t xml:space="preserve"> – Gewogen score</w:t>
            </w:r>
          </w:p>
        </w:tc>
        <w:tc>
          <w:tcPr>
            <w:tcW w:w="0" w:type="auto"/>
            <w:vAlign w:val="center"/>
            <w:hideMark/>
          </w:tcPr>
          <w:p w14:paraId="792E72FD" w14:textId="77777777" w:rsidR="00E74B29" w:rsidRPr="00E74B29" w:rsidRDefault="00E74B29" w:rsidP="00E74B29">
            <w:pPr>
              <w:rPr>
                <w:b/>
                <w:bCs/>
              </w:rPr>
            </w:pPr>
            <w:r w:rsidRPr="00E74B29">
              <w:rPr>
                <w:b/>
                <w:bCs/>
              </w:rPr>
              <w:t>Triodos – Score (1–10)</w:t>
            </w:r>
          </w:p>
        </w:tc>
        <w:tc>
          <w:tcPr>
            <w:tcW w:w="0" w:type="auto"/>
            <w:vAlign w:val="center"/>
            <w:hideMark/>
          </w:tcPr>
          <w:p w14:paraId="05FE52FE" w14:textId="77777777" w:rsidR="00E74B29" w:rsidRPr="00E74B29" w:rsidRDefault="00E74B29" w:rsidP="00E74B29">
            <w:pPr>
              <w:rPr>
                <w:b/>
                <w:bCs/>
              </w:rPr>
            </w:pPr>
            <w:r w:rsidRPr="00E74B29">
              <w:rPr>
                <w:b/>
                <w:bCs/>
              </w:rPr>
              <w:t>Triodos – Gewogen score</w:t>
            </w:r>
          </w:p>
        </w:tc>
      </w:tr>
      <w:tr w:rsidR="00E74B29" w:rsidRPr="00E74B29" w14:paraId="07EC575C" w14:textId="77777777" w:rsidTr="00E74B29">
        <w:trPr>
          <w:tblCellSpacing w:w="15" w:type="dxa"/>
        </w:trPr>
        <w:tc>
          <w:tcPr>
            <w:tcW w:w="0" w:type="auto"/>
            <w:vAlign w:val="center"/>
            <w:hideMark/>
          </w:tcPr>
          <w:p w14:paraId="2B20CC49" w14:textId="77777777" w:rsidR="00E74B29" w:rsidRPr="00E74B29" w:rsidRDefault="00E74B29" w:rsidP="00E74B29">
            <w:r w:rsidRPr="00E74B29">
              <w:t>1</w:t>
            </w:r>
          </w:p>
        </w:tc>
        <w:tc>
          <w:tcPr>
            <w:tcW w:w="0" w:type="auto"/>
            <w:vAlign w:val="center"/>
            <w:hideMark/>
          </w:tcPr>
          <w:p w14:paraId="2449D521" w14:textId="77777777" w:rsidR="00E74B29" w:rsidRPr="00E74B29" w:rsidRDefault="00E74B29" w:rsidP="00E74B29">
            <w:r w:rsidRPr="00E74B29">
              <w:t>Communicatie beleggingsstrategie</w:t>
            </w:r>
          </w:p>
        </w:tc>
        <w:tc>
          <w:tcPr>
            <w:tcW w:w="0" w:type="auto"/>
            <w:vAlign w:val="center"/>
            <w:hideMark/>
          </w:tcPr>
          <w:p w14:paraId="3F8206D7" w14:textId="77777777" w:rsidR="00E74B29" w:rsidRPr="00E74B29" w:rsidRDefault="00E74B29" w:rsidP="00E74B29">
            <w:r w:rsidRPr="00E74B29">
              <w:t>10%</w:t>
            </w:r>
          </w:p>
        </w:tc>
        <w:tc>
          <w:tcPr>
            <w:tcW w:w="0" w:type="auto"/>
            <w:vAlign w:val="center"/>
            <w:hideMark/>
          </w:tcPr>
          <w:p w14:paraId="7A4D3441" w14:textId="77777777" w:rsidR="00E74B29" w:rsidRPr="00E74B29" w:rsidRDefault="00E74B29" w:rsidP="00E74B29">
            <w:r w:rsidRPr="00E74B29">
              <w:t>8</w:t>
            </w:r>
          </w:p>
        </w:tc>
        <w:tc>
          <w:tcPr>
            <w:tcW w:w="0" w:type="auto"/>
            <w:vAlign w:val="center"/>
            <w:hideMark/>
          </w:tcPr>
          <w:p w14:paraId="7EDA8CC2" w14:textId="77777777" w:rsidR="00E74B29" w:rsidRPr="00E74B29" w:rsidRDefault="00E74B29" w:rsidP="00E74B29">
            <w:r w:rsidRPr="00E74B29">
              <w:t>0,8</w:t>
            </w:r>
          </w:p>
        </w:tc>
        <w:tc>
          <w:tcPr>
            <w:tcW w:w="0" w:type="auto"/>
            <w:vAlign w:val="center"/>
            <w:hideMark/>
          </w:tcPr>
          <w:p w14:paraId="2156E517" w14:textId="77777777" w:rsidR="00E74B29" w:rsidRPr="00E74B29" w:rsidRDefault="00E74B29" w:rsidP="00E74B29">
            <w:r w:rsidRPr="00E74B29">
              <w:t>7</w:t>
            </w:r>
          </w:p>
        </w:tc>
        <w:tc>
          <w:tcPr>
            <w:tcW w:w="0" w:type="auto"/>
            <w:vAlign w:val="center"/>
            <w:hideMark/>
          </w:tcPr>
          <w:p w14:paraId="1D9F6B84" w14:textId="77777777" w:rsidR="00E74B29" w:rsidRPr="00E74B29" w:rsidRDefault="00E74B29" w:rsidP="00E74B29">
            <w:r w:rsidRPr="00E74B29">
              <w:t>0,7</w:t>
            </w:r>
          </w:p>
        </w:tc>
      </w:tr>
      <w:tr w:rsidR="00E74B29" w:rsidRPr="00E74B29" w14:paraId="25DDD44B" w14:textId="77777777" w:rsidTr="00E74B29">
        <w:trPr>
          <w:tblCellSpacing w:w="15" w:type="dxa"/>
        </w:trPr>
        <w:tc>
          <w:tcPr>
            <w:tcW w:w="0" w:type="auto"/>
            <w:vAlign w:val="center"/>
            <w:hideMark/>
          </w:tcPr>
          <w:p w14:paraId="10E024F0" w14:textId="77777777" w:rsidR="00E74B29" w:rsidRPr="00E74B29" w:rsidRDefault="00E74B29" w:rsidP="00E74B29">
            <w:r w:rsidRPr="00E74B29">
              <w:t>2</w:t>
            </w:r>
          </w:p>
        </w:tc>
        <w:tc>
          <w:tcPr>
            <w:tcW w:w="0" w:type="auto"/>
            <w:vAlign w:val="center"/>
            <w:hideMark/>
          </w:tcPr>
          <w:p w14:paraId="01F5CDBA" w14:textId="77777777" w:rsidR="00E74B29" w:rsidRPr="00E74B29" w:rsidRDefault="00E74B29" w:rsidP="00E74B29">
            <w:r w:rsidRPr="00E74B29">
              <w:t>Historische risico-/rendementsverhouding</w:t>
            </w:r>
          </w:p>
        </w:tc>
        <w:tc>
          <w:tcPr>
            <w:tcW w:w="0" w:type="auto"/>
            <w:vAlign w:val="center"/>
            <w:hideMark/>
          </w:tcPr>
          <w:p w14:paraId="4DE2176F" w14:textId="77777777" w:rsidR="00E74B29" w:rsidRPr="00E74B29" w:rsidRDefault="00E74B29" w:rsidP="00E74B29">
            <w:r w:rsidRPr="00E74B29">
              <w:t>25%</w:t>
            </w:r>
          </w:p>
        </w:tc>
        <w:tc>
          <w:tcPr>
            <w:tcW w:w="0" w:type="auto"/>
            <w:vAlign w:val="center"/>
            <w:hideMark/>
          </w:tcPr>
          <w:p w14:paraId="75A9E660" w14:textId="77777777" w:rsidR="00E74B29" w:rsidRPr="00E74B29" w:rsidRDefault="00E74B29" w:rsidP="00E74B29">
            <w:r w:rsidRPr="00E74B29">
              <w:t>9</w:t>
            </w:r>
          </w:p>
        </w:tc>
        <w:tc>
          <w:tcPr>
            <w:tcW w:w="0" w:type="auto"/>
            <w:vAlign w:val="center"/>
            <w:hideMark/>
          </w:tcPr>
          <w:p w14:paraId="11F7D4AF" w14:textId="77777777" w:rsidR="00E74B29" w:rsidRPr="00E74B29" w:rsidRDefault="00E74B29" w:rsidP="00E74B29">
            <w:r w:rsidRPr="00E74B29">
              <w:t>2,25</w:t>
            </w:r>
          </w:p>
        </w:tc>
        <w:tc>
          <w:tcPr>
            <w:tcW w:w="0" w:type="auto"/>
            <w:vAlign w:val="center"/>
            <w:hideMark/>
          </w:tcPr>
          <w:p w14:paraId="6BA6EEF3" w14:textId="77777777" w:rsidR="00E74B29" w:rsidRPr="00E74B29" w:rsidRDefault="00E74B29" w:rsidP="00E74B29">
            <w:r w:rsidRPr="00E74B29">
              <w:t>6</w:t>
            </w:r>
          </w:p>
        </w:tc>
        <w:tc>
          <w:tcPr>
            <w:tcW w:w="0" w:type="auto"/>
            <w:vAlign w:val="center"/>
            <w:hideMark/>
          </w:tcPr>
          <w:p w14:paraId="7E29D503" w14:textId="77777777" w:rsidR="00E74B29" w:rsidRPr="00E74B29" w:rsidRDefault="00E74B29" w:rsidP="00E74B29">
            <w:r w:rsidRPr="00E74B29">
              <w:t>1,50</w:t>
            </w:r>
          </w:p>
        </w:tc>
      </w:tr>
      <w:tr w:rsidR="00E74B29" w:rsidRPr="00E74B29" w14:paraId="17CF3C98" w14:textId="77777777" w:rsidTr="00E74B29">
        <w:trPr>
          <w:tblCellSpacing w:w="15" w:type="dxa"/>
        </w:trPr>
        <w:tc>
          <w:tcPr>
            <w:tcW w:w="0" w:type="auto"/>
            <w:vAlign w:val="center"/>
            <w:hideMark/>
          </w:tcPr>
          <w:p w14:paraId="4A2612FE" w14:textId="77777777" w:rsidR="00E74B29" w:rsidRPr="00E74B29" w:rsidRDefault="00E74B29" w:rsidP="00E74B29">
            <w:r w:rsidRPr="00E74B29">
              <w:t>3</w:t>
            </w:r>
          </w:p>
        </w:tc>
        <w:tc>
          <w:tcPr>
            <w:tcW w:w="0" w:type="auto"/>
            <w:vAlign w:val="center"/>
            <w:hideMark/>
          </w:tcPr>
          <w:p w14:paraId="31B37AA2" w14:textId="77777777" w:rsidR="00E74B29" w:rsidRPr="00E74B29" w:rsidRDefault="00E74B29" w:rsidP="00E74B29">
            <w:r w:rsidRPr="00E74B29">
              <w:t>Kosten</w:t>
            </w:r>
          </w:p>
        </w:tc>
        <w:tc>
          <w:tcPr>
            <w:tcW w:w="0" w:type="auto"/>
            <w:vAlign w:val="center"/>
            <w:hideMark/>
          </w:tcPr>
          <w:p w14:paraId="4D7462F5" w14:textId="77777777" w:rsidR="00E74B29" w:rsidRPr="00E74B29" w:rsidRDefault="00E74B29" w:rsidP="00E74B29">
            <w:r w:rsidRPr="00E74B29">
              <w:t>15%</w:t>
            </w:r>
          </w:p>
        </w:tc>
        <w:tc>
          <w:tcPr>
            <w:tcW w:w="0" w:type="auto"/>
            <w:vAlign w:val="center"/>
            <w:hideMark/>
          </w:tcPr>
          <w:p w14:paraId="05051D23" w14:textId="77777777" w:rsidR="00E74B29" w:rsidRPr="00E74B29" w:rsidRDefault="00E74B29" w:rsidP="00E74B29">
            <w:r w:rsidRPr="00E74B29">
              <w:t>10</w:t>
            </w:r>
          </w:p>
        </w:tc>
        <w:tc>
          <w:tcPr>
            <w:tcW w:w="0" w:type="auto"/>
            <w:vAlign w:val="center"/>
            <w:hideMark/>
          </w:tcPr>
          <w:p w14:paraId="303B69CF" w14:textId="77777777" w:rsidR="00E74B29" w:rsidRPr="00E74B29" w:rsidRDefault="00E74B29" w:rsidP="00E74B29">
            <w:r w:rsidRPr="00E74B29">
              <w:t>1,50</w:t>
            </w:r>
          </w:p>
        </w:tc>
        <w:tc>
          <w:tcPr>
            <w:tcW w:w="0" w:type="auto"/>
            <w:vAlign w:val="center"/>
            <w:hideMark/>
          </w:tcPr>
          <w:p w14:paraId="7256F679" w14:textId="77777777" w:rsidR="00E74B29" w:rsidRPr="00E74B29" w:rsidRDefault="00E74B29" w:rsidP="00E74B29">
            <w:r w:rsidRPr="00E74B29">
              <w:t>4</w:t>
            </w:r>
          </w:p>
        </w:tc>
        <w:tc>
          <w:tcPr>
            <w:tcW w:w="0" w:type="auto"/>
            <w:vAlign w:val="center"/>
            <w:hideMark/>
          </w:tcPr>
          <w:p w14:paraId="0D3A7CB7" w14:textId="77777777" w:rsidR="00E74B29" w:rsidRPr="00E74B29" w:rsidRDefault="00E74B29" w:rsidP="00E74B29">
            <w:r w:rsidRPr="00E74B29">
              <w:t>0,60</w:t>
            </w:r>
          </w:p>
        </w:tc>
      </w:tr>
      <w:tr w:rsidR="00E74B29" w:rsidRPr="00E74B29" w14:paraId="482868A0" w14:textId="77777777" w:rsidTr="00E74B29">
        <w:trPr>
          <w:tblCellSpacing w:w="15" w:type="dxa"/>
        </w:trPr>
        <w:tc>
          <w:tcPr>
            <w:tcW w:w="0" w:type="auto"/>
            <w:vAlign w:val="center"/>
            <w:hideMark/>
          </w:tcPr>
          <w:p w14:paraId="04544AF8" w14:textId="77777777" w:rsidR="00E74B29" w:rsidRPr="00E74B29" w:rsidRDefault="00E74B29" w:rsidP="00E74B29">
            <w:r w:rsidRPr="00E74B29">
              <w:t>4</w:t>
            </w:r>
          </w:p>
        </w:tc>
        <w:tc>
          <w:tcPr>
            <w:tcW w:w="0" w:type="auto"/>
            <w:vAlign w:val="center"/>
            <w:hideMark/>
          </w:tcPr>
          <w:p w14:paraId="30CCC4F7" w14:textId="77777777" w:rsidR="00E74B29" w:rsidRPr="00E74B29" w:rsidRDefault="00E74B29" w:rsidP="00E74B29">
            <w:r w:rsidRPr="00E74B29">
              <w:t>Aansluiting bij strategie (duurzaamheidsbeleid etc.)</w:t>
            </w:r>
          </w:p>
        </w:tc>
        <w:tc>
          <w:tcPr>
            <w:tcW w:w="0" w:type="auto"/>
            <w:vAlign w:val="center"/>
            <w:hideMark/>
          </w:tcPr>
          <w:p w14:paraId="3AAD0C66" w14:textId="77777777" w:rsidR="00E74B29" w:rsidRPr="00E74B29" w:rsidRDefault="00E74B29" w:rsidP="00E74B29">
            <w:r w:rsidRPr="00E74B29">
              <w:t>30%</w:t>
            </w:r>
          </w:p>
        </w:tc>
        <w:tc>
          <w:tcPr>
            <w:tcW w:w="0" w:type="auto"/>
            <w:vAlign w:val="center"/>
            <w:hideMark/>
          </w:tcPr>
          <w:p w14:paraId="1BC188A3" w14:textId="77777777" w:rsidR="00E74B29" w:rsidRPr="00E74B29" w:rsidRDefault="00E74B29" w:rsidP="00E74B29">
            <w:r w:rsidRPr="00E74B29">
              <w:t>6</w:t>
            </w:r>
          </w:p>
        </w:tc>
        <w:tc>
          <w:tcPr>
            <w:tcW w:w="0" w:type="auto"/>
            <w:vAlign w:val="center"/>
            <w:hideMark/>
          </w:tcPr>
          <w:p w14:paraId="6AA3980C" w14:textId="77777777" w:rsidR="00E74B29" w:rsidRPr="00E74B29" w:rsidRDefault="00E74B29" w:rsidP="00E74B29">
            <w:r w:rsidRPr="00E74B29">
              <w:t>1,80</w:t>
            </w:r>
          </w:p>
        </w:tc>
        <w:tc>
          <w:tcPr>
            <w:tcW w:w="0" w:type="auto"/>
            <w:vAlign w:val="center"/>
            <w:hideMark/>
          </w:tcPr>
          <w:p w14:paraId="210D0577" w14:textId="77777777" w:rsidR="00E74B29" w:rsidRPr="00E74B29" w:rsidRDefault="00E74B29" w:rsidP="00E74B29">
            <w:r w:rsidRPr="00E74B29">
              <w:t>9</w:t>
            </w:r>
          </w:p>
        </w:tc>
        <w:tc>
          <w:tcPr>
            <w:tcW w:w="0" w:type="auto"/>
            <w:vAlign w:val="center"/>
            <w:hideMark/>
          </w:tcPr>
          <w:p w14:paraId="0B975870" w14:textId="77777777" w:rsidR="00E74B29" w:rsidRPr="00E74B29" w:rsidRDefault="00E74B29" w:rsidP="00E74B29">
            <w:r w:rsidRPr="00E74B29">
              <w:t>2,70</w:t>
            </w:r>
          </w:p>
        </w:tc>
      </w:tr>
      <w:tr w:rsidR="00E74B29" w:rsidRPr="00E74B29" w14:paraId="36C0F3F7" w14:textId="77777777" w:rsidTr="00E74B29">
        <w:trPr>
          <w:tblCellSpacing w:w="15" w:type="dxa"/>
        </w:trPr>
        <w:tc>
          <w:tcPr>
            <w:tcW w:w="0" w:type="auto"/>
            <w:vAlign w:val="center"/>
            <w:hideMark/>
          </w:tcPr>
          <w:p w14:paraId="514294D8" w14:textId="77777777" w:rsidR="00E74B29" w:rsidRPr="00E74B29" w:rsidRDefault="00E74B29" w:rsidP="00E74B29">
            <w:r w:rsidRPr="00E74B29">
              <w:t>5</w:t>
            </w:r>
          </w:p>
        </w:tc>
        <w:tc>
          <w:tcPr>
            <w:tcW w:w="0" w:type="auto"/>
            <w:vAlign w:val="center"/>
            <w:hideMark/>
          </w:tcPr>
          <w:p w14:paraId="025510B1" w14:textId="77777777" w:rsidR="00E74B29" w:rsidRPr="00E74B29" w:rsidRDefault="00E74B29" w:rsidP="00E74B29">
            <w:r w:rsidRPr="00E74B29">
              <w:t>Klimaatrisico’s (kwaliteit info)</w:t>
            </w:r>
          </w:p>
        </w:tc>
        <w:tc>
          <w:tcPr>
            <w:tcW w:w="0" w:type="auto"/>
            <w:vAlign w:val="center"/>
            <w:hideMark/>
          </w:tcPr>
          <w:p w14:paraId="146E1133" w14:textId="77777777" w:rsidR="00E74B29" w:rsidRPr="00E74B29" w:rsidRDefault="00E74B29" w:rsidP="00E74B29">
            <w:r w:rsidRPr="00E74B29">
              <w:t>10%</w:t>
            </w:r>
          </w:p>
        </w:tc>
        <w:tc>
          <w:tcPr>
            <w:tcW w:w="0" w:type="auto"/>
            <w:vAlign w:val="center"/>
            <w:hideMark/>
          </w:tcPr>
          <w:p w14:paraId="5D967C2A" w14:textId="77777777" w:rsidR="00E74B29" w:rsidRPr="00E74B29" w:rsidRDefault="00E74B29" w:rsidP="00E74B29">
            <w:r w:rsidRPr="00E74B29">
              <w:t>5</w:t>
            </w:r>
          </w:p>
        </w:tc>
        <w:tc>
          <w:tcPr>
            <w:tcW w:w="0" w:type="auto"/>
            <w:vAlign w:val="center"/>
            <w:hideMark/>
          </w:tcPr>
          <w:p w14:paraId="71262F4C" w14:textId="77777777" w:rsidR="00E74B29" w:rsidRPr="00E74B29" w:rsidRDefault="00E74B29" w:rsidP="00E74B29">
            <w:r w:rsidRPr="00E74B29">
              <w:t>0,50</w:t>
            </w:r>
          </w:p>
        </w:tc>
        <w:tc>
          <w:tcPr>
            <w:tcW w:w="0" w:type="auto"/>
            <w:vAlign w:val="center"/>
            <w:hideMark/>
          </w:tcPr>
          <w:p w14:paraId="60F160DB" w14:textId="77777777" w:rsidR="00E74B29" w:rsidRPr="00E74B29" w:rsidRDefault="00E74B29" w:rsidP="00E74B29">
            <w:r w:rsidRPr="00E74B29">
              <w:t>9</w:t>
            </w:r>
          </w:p>
        </w:tc>
        <w:tc>
          <w:tcPr>
            <w:tcW w:w="0" w:type="auto"/>
            <w:vAlign w:val="center"/>
            <w:hideMark/>
          </w:tcPr>
          <w:p w14:paraId="271DA147" w14:textId="77777777" w:rsidR="00E74B29" w:rsidRPr="00E74B29" w:rsidRDefault="00E74B29" w:rsidP="00E74B29">
            <w:r w:rsidRPr="00E74B29">
              <w:t>0,90</w:t>
            </w:r>
          </w:p>
        </w:tc>
      </w:tr>
      <w:tr w:rsidR="00E74B29" w:rsidRPr="00E74B29" w14:paraId="7AF310B5" w14:textId="77777777" w:rsidTr="00E74B29">
        <w:trPr>
          <w:tblCellSpacing w:w="15" w:type="dxa"/>
        </w:trPr>
        <w:tc>
          <w:tcPr>
            <w:tcW w:w="0" w:type="auto"/>
            <w:vAlign w:val="center"/>
            <w:hideMark/>
          </w:tcPr>
          <w:p w14:paraId="235C1609" w14:textId="77777777" w:rsidR="00E74B29" w:rsidRPr="00E74B29" w:rsidRDefault="00E74B29" w:rsidP="00E74B29">
            <w:r w:rsidRPr="00E74B29">
              <w:t>6</w:t>
            </w:r>
          </w:p>
        </w:tc>
        <w:tc>
          <w:tcPr>
            <w:tcW w:w="0" w:type="auto"/>
            <w:vAlign w:val="center"/>
            <w:hideMark/>
          </w:tcPr>
          <w:p w14:paraId="1EC61FCD" w14:textId="77777777" w:rsidR="00E74B29" w:rsidRPr="00E74B29" w:rsidRDefault="00E74B29" w:rsidP="00E74B29">
            <w:r w:rsidRPr="00E74B29">
              <w:t>Klantcommunicatie over duurzaamheid</w:t>
            </w:r>
          </w:p>
        </w:tc>
        <w:tc>
          <w:tcPr>
            <w:tcW w:w="0" w:type="auto"/>
            <w:vAlign w:val="center"/>
            <w:hideMark/>
          </w:tcPr>
          <w:p w14:paraId="31BECEB8" w14:textId="77777777" w:rsidR="00E74B29" w:rsidRPr="00E74B29" w:rsidRDefault="00E74B29" w:rsidP="00E74B29">
            <w:r w:rsidRPr="00E74B29">
              <w:t>10%</w:t>
            </w:r>
          </w:p>
        </w:tc>
        <w:tc>
          <w:tcPr>
            <w:tcW w:w="0" w:type="auto"/>
            <w:vAlign w:val="center"/>
            <w:hideMark/>
          </w:tcPr>
          <w:p w14:paraId="000D3B1F" w14:textId="77777777" w:rsidR="00E74B29" w:rsidRPr="00E74B29" w:rsidRDefault="00E74B29" w:rsidP="00E74B29">
            <w:r w:rsidRPr="00E74B29">
              <w:t>7</w:t>
            </w:r>
          </w:p>
        </w:tc>
        <w:tc>
          <w:tcPr>
            <w:tcW w:w="0" w:type="auto"/>
            <w:vAlign w:val="center"/>
            <w:hideMark/>
          </w:tcPr>
          <w:p w14:paraId="16A1B250" w14:textId="77777777" w:rsidR="00E74B29" w:rsidRPr="00E74B29" w:rsidRDefault="00E74B29" w:rsidP="00E74B29">
            <w:r w:rsidRPr="00E74B29">
              <w:t>0,70</w:t>
            </w:r>
          </w:p>
        </w:tc>
        <w:tc>
          <w:tcPr>
            <w:tcW w:w="0" w:type="auto"/>
            <w:vAlign w:val="center"/>
            <w:hideMark/>
          </w:tcPr>
          <w:p w14:paraId="54425452" w14:textId="77777777" w:rsidR="00E74B29" w:rsidRPr="00E74B29" w:rsidRDefault="00E74B29" w:rsidP="00E74B29">
            <w:r w:rsidRPr="00E74B29">
              <w:t>9</w:t>
            </w:r>
          </w:p>
        </w:tc>
        <w:tc>
          <w:tcPr>
            <w:tcW w:w="0" w:type="auto"/>
            <w:vAlign w:val="center"/>
            <w:hideMark/>
          </w:tcPr>
          <w:p w14:paraId="0FA9AA33" w14:textId="77777777" w:rsidR="00E74B29" w:rsidRPr="00E74B29" w:rsidRDefault="00E74B29" w:rsidP="00E74B29">
            <w:r w:rsidRPr="00E74B29">
              <w:t>0,90</w:t>
            </w:r>
          </w:p>
        </w:tc>
      </w:tr>
      <w:tr w:rsidR="00E74B29" w:rsidRPr="00E74B29" w14:paraId="31622895" w14:textId="77777777" w:rsidTr="00E74B29">
        <w:trPr>
          <w:tblCellSpacing w:w="15" w:type="dxa"/>
        </w:trPr>
        <w:tc>
          <w:tcPr>
            <w:tcW w:w="0" w:type="auto"/>
            <w:vAlign w:val="center"/>
            <w:hideMark/>
          </w:tcPr>
          <w:p w14:paraId="59D4FA12" w14:textId="77777777" w:rsidR="00E74B29" w:rsidRPr="00E74B29" w:rsidRDefault="00E74B29" w:rsidP="00E74B29"/>
        </w:tc>
        <w:tc>
          <w:tcPr>
            <w:tcW w:w="0" w:type="auto"/>
            <w:vAlign w:val="center"/>
            <w:hideMark/>
          </w:tcPr>
          <w:p w14:paraId="5A8A6A5E" w14:textId="77777777" w:rsidR="00E74B29" w:rsidRPr="00E74B29" w:rsidRDefault="00E74B29" w:rsidP="00E74B29">
            <w:r w:rsidRPr="00E74B29">
              <w:rPr>
                <w:b/>
                <w:bCs/>
              </w:rPr>
              <w:t>Totaalscore</w:t>
            </w:r>
          </w:p>
        </w:tc>
        <w:tc>
          <w:tcPr>
            <w:tcW w:w="0" w:type="auto"/>
            <w:vAlign w:val="center"/>
            <w:hideMark/>
          </w:tcPr>
          <w:p w14:paraId="0B1F6C39" w14:textId="77777777" w:rsidR="00E74B29" w:rsidRPr="00E74B29" w:rsidRDefault="00E74B29" w:rsidP="00E74B29">
            <w:r w:rsidRPr="00E74B29">
              <w:rPr>
                <w:b/>
                <w:bCs/>
              </w:rPr>
              <w:t>100%</w:t>
            </w:r>
          </w:p>
        </w:tc>
        <w:tc>
          <w:tcPr>
            <w:tcW w:w="0" w:type="auto"/>
            <w:vAlign w:val="center"/>
            <w:hideMark/>
          </w:tcPr>
          <w:p w14:paraId="4F87728A" w14:textId="77777777" w:rsidR="00E74B29" w:rsidRPr="00E74B29" w:rsidRDefault="00E74B29" w:rsidP="00E74B29"/>
        </w:tc>
        <w:tc>
          <w:tcPr>
            <w:tcW w:w="0" w:type="auto"/>
            <w:vAlign w:val="center"/>
            <w:hideMark/>
          </w:tcPr>
          <w:p w14:paraId="1A41FBF1" w14:textId="77777777" w:rsidR="00E74B29" w:rsidRPr="00E74B29" w:rsidRDefault="00E74B29" w:rsidP="00E74B29">
            <w:r w:rsidRPr="00E74B29">
              <w:rPr>
                <w:b/>
                <w:bCs/>
              </w:rPr>
              <w:t>7,55</w:t>
            </w:r>
          </w:p>
        </w:tc>
        <w:tc>
          <w:tcPr>
            <w:tcW w:w="0" w:type="auto"/>
            <w:vAlign w:val="center"/>
            <w:hideMark/>
          </w:tcPr>
          <w:p w14:paraId="706AFDED" w14:textId="77777777" w:rsidR="00E74B29" w:rsidRPr="00E74B29" w:rsidRDefault="00E74B29" w:rsidP="00E74B29"/>
        </w:tc>
        <w:tc>
          <w:tcPr>
            <w:tcW w:w="0" w:type="auto"/>
            <w:vAlign w:val="center"/>
            <w:hideMark/>
          </w:tcPr>
          <w:p w14:paraId="539C61D6" w14:textId="77777777" w:rsidR="00E74B29" w:rsidRPr="00E74B29" w:rsidRDefault="00E74B29" w:rsidP="00E74B29">
            <w:r w:rsidRPr="00E74B29">
              <w:rPr>
                <w:b/>
                <w:bCs/>
              </w:rPr>
              <w:t>7,30</w:t>
            </w:r>
          </w:p>
        </w:tc>
      </w:tr>
    </w:tbl>
    <w:p w14:paraId="20FBB299" w14:textId="141D9214" w:rsidR="162A4C99" w:rsidRPr="008F021C" w:rsidRDefault="162A4C99" w:rsidP="162A4C99"/>
    <w:p w14:paraId="7B9CBBB9" w14:textId="220C1134" w:rsidR="162A4C99" w:rsidRDefault="162A4C99" w:rsidP="162A4C99"/>
    <w:p w14:paraId="1A20BEC4" w14:textId="77777777" w:rsidR="00B00C7E" w:rsidRDefault="00B00C7E" w:rsidP="162A4C99"/>
    <w:p w14:paraId="2EAB681F" w14:textId="77777777" w:rsidR="00B00C7E" w:rsidRDefault="00B00C7E" w:rsidP="162A4C99"/>
    <w:p w14:paraId="4CD43978" w14:textId="77777777" w:rsidR="00B00C7E" w:rsidRDefault="00B00C7E" w:rsidP="162A4C99"/>
    <w:p w14:paraId="1070E3CB" w14:textId="77777777" w:rsidR="00B00C7E" w:rsidRDefault="00B00C7E" w:rsidP="162A4C99"/>
    <w:p w14:paraId="4E71E5AC" w14:textId="77777777" w:rsidR="00A4024C" w:rsidRDefault="00A4024C" w:rsidP="162A4C99"/>
    <w:p w14:paraId="5E776F63" w14:textId="77777777" w:rsidR="00C57DD2" w:rsidRDefault="00C57DD2" w:rsidP="162A4C99"/>
    <w:p w14:paraId="7BEC4D63" w14:textId="77777777" w:rsidR="00B00C7E" w:rsidRPr="008F021C" w:rsidRDefault="00B00C7E" w:rsidP="162A4C99"/>
    <w:p w14:paraId="546310B7" w14:textId="070DC63F" w:rsidR="00B00C7E" w:rsidRPr="00A4024C" w:rsidRDefault="00A4024C" w:rsidP="00A4024C">
      <w:pPr>
        <w:pStyle w:val="Heading2"/>
        <w:rPr>
          <w:sz w:val="32"/>
          <w:szCs w:val="32"/>
        </w:rPr>
      </w:pPr>
      <w:bookmarkStart w:id="24" w:name="_Toc218449563"/>
      <w:r w:rsidRPr="00A4024C">
        <w:rPr>
          <w:sz w:val="32"/>
          <w:szCs w:val="32"/>
        </w:rPr>
        <w:t>6.</w:t>
      </w:r>
      <w:r w:rsidR="00B00C7E" w:rsidRPr="00A4024C">
        <w:rPr>
          <w:sz w:val="32"/>
          <w:szCs w:val="32"/>
        </w:rPr>
        <w:t>2</w:t>
      </w:r>
      <w:r w:rsidRPr="00A4024C">
        <w:rPr>
          <w:sz w:val="32"/>
          <w:szCs w:val="32"/>
        </w:rPr>
        <w:t xml:space="preserve"> </w:t>
      </w:r>
      <w:r w:rsidR="00B00C7E" w:rsidRPr="00A4024C">
        <w:rPr>
          <w:sz w:val="32"/>
          <w:szCs w:val="32"/>
        </w:rPr>
        <w:t>Beslissingsmatrix – Speciale duurzame fondsen</w:t>
      </w:r>
      <w:bookmarkEnd w:id="24"/>
    </w:p>
    <w:p w14:paraId="77852740" w14:textId="77777777" w:rsidR="00B00C7E" w:rsidRPr="00B00C7E" w:rsidRDefault="00B00C7E" w:rsidP="00B00C7E">
      <w:pPr>
        <w:rPr>
          <w:lang w:val="en-US"/>
        </w:rPr>
      </w:pPr>
      <w:r w:rsidRPr="00B00C7E">
        <w:rPr>
          <w:b/>
          <w:bCs/>
          <w:lang w:val="en-US"/>
        </w:rPr>
        <w:t>BGF Sustainable Energy Fund (BlackRock)</w:t>
      </w:r>
      <w:r w:rsidRPr="00B00C7E">
        <w:rPr>
          <w:lang w:val="en-US"/>
        </w:rPr>
        <w:t xml:space="preserve"> vs </w:t>
      </w:r>
      <w:proofErr w:type="spellStart"/>
      <w:r w:rsidRPr="00B00C7E">
        <w:rPr>
          <w:b/>
          <w:bCs/>
          <w:lang w:val="en-US"/>
        </w:rPr>
        <w:t>Triodos</w:t>
      </w:r>
      <w:proofErr w:type="spellEnd"/>
      <w:r w:rsidRPr="00B00C7E">
        <w:rPr>
          <w:b/>
          <w:bCs/>
          <w:lang w:val="en-US"/>
        </w:rPr>
        <w:t xml:space="preserve"> Energy Transition Europe Fund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
        <w:gridCol w:w="3067"/>
        <w:gridCol w:w="758"/>
        <w:gridCol w:w="930"/>
        <w:gridCol w:w="1302"/>
        <w:gridCol w:w="1160"/>
        <w:gridCol w:w="1396"/>
      </w:tblGrid>
      <w:tr w:rsidR="00B00C7E" w:rsidRPr="00B00C7E" w14:paraId="089D70EC" w14:textId="77777777" w:rsidTr="00B00C7E">
        <w:trPr>
          <w:tblHeader/>
          <w:tblCellSpacing w:w="15" w:type="dxa"/>
        </w:trPr>
        <w:tc>
          <w:tcPr>
            <w:tcW w:w="0" w:type="auto"/>
            <w:vAlign w:val="center"/>
            <w:hideMark/>
          </w:tcPr>
          <w:p w14:paraId="0E3DC721" w14:textId="77777777" w:rsidR="00B00C7E" w:rsidRPr="00B00C7E" w:rsidRDefault="00B00C7E" w:rsidP="00B00C7E">
            <w:pPr>
              <w:rPr>
                <w:b/>
                <w:bCs/>
              </w:rPr>
            </w:pPr>
            <w:r w:rsidRPr="00B00C7E">
              <w:rPr>
                <w:b/>
                <w:bCs/>
              </w:rPr>
              <w:t>Nr.</w:t>
            </w:r>
          </w:p>
        </w:tc>
        <w:tc>
          <w:tcPr>
            <w:tcW w:w="0" w:type="auto"/>
            <w:vAlign w:val="center"/>
            <w:hideMark/>
          </w:tcPr>
          <w:p w14:paraId="730D02AB" w14:textId="77777777" w:rsidR="00B00C7E" w:rsidRPr="00B00C7E" w:rsidRDefault="00B00C7E" w:rsidP="00B00C7E">
            <w:pPr>
              <w:rPr>
                <w:b/>
                <w:bCs/>
              </w:rPr>
            </w:pPr>
            <w:r w:rsidRPr="00B00C7E">
              <w:rPr>
                <w:b/>
                <w:bCs/>
              </w:rPr>
              <w:t>Criterium</w:t>
            </w:r>
          </w:p>
        </w:tc>
        <w:tc>
          <w:tcPr>
            <w:tcW w:w="0" w:type="auto"/>
            <w:vAlign w:val="center"/>
            <w:hideMark/>
          </w:tcPr>
          <w:p w14:paraId="552C577A" w14:textId="77777777" w:rsidR="00B00C7E" w:rsidRPr="00B00C7E" w:rsidRDefault="00B00C7E" w:rsidP="00B00C7E">
            <w:pPr>
              <w:rPr>
                <w:b/>
                <w:bCs/>
              </w:rPr>
            </w:pPr>
            <w:proofErr w:type="spellStart"/>
            <w:r w:rsidRPr="00B00C7E">
              <w:rPr>
                <w:b/>
                <w:bCs/>
              </w:rPr>
              <w:t>Wegin</w:t>
            </w:r>
            <w:proofErr w:type="spellEnd"/>
            <w:r w:rsidRPr="00B00C7E">
              <w:rPr>
                <w:b/>
                <w:bCs/>
              </w:rPr>
              <w:t xml:space="preserve"> g</w:t>
            </w:r>
          </w:p>
        </w:tc>
        <w:tc>
          <w:tcPr>
            <w:tcW w:w="0" w:type="auto"/>
            <w:vAlign w:val="center"/>
            <w:hideMark/>
          </w:tcPr>
          <w:p w14:paraId="2124B8D1" w14:textId="77777777" w:rsidR="00B00C7E" w:rsidRPr="00B00C7E" w:rsidRDefault="00B00C7E" w:rsidP="00B00C7E">
            <w:pPr>
              <w:rPr>
                <w:b/>
                <w:bCs/>
              </w:rPr>
            </w:pPr>
            <w:r w:rsidRPr="00B00C7E">
              <w:rPr>
                <w:b/>
                <w:bCs/>
              </w:rPr>
              <w:t>BGF – Score (1–10)</w:t>
            </w:r>
          </w:p>
        </w:tc>
        <w:tc>
          <w:tcPr>
            <w:tcW w:w="0" w:type="auto"/>
            <w:vAlign w:val="center"/>
            <w:hideMark/>
          </w:tcPr>
          <w:p w14:paraId="18D2E712" w14:textId="77777777" w:rsidR="00B00C7E" w:rsidRPr="00B00C7E" w:rsidRDefault="00B00C7E" w:rsidP="00B00C7E">
            <w:pPr>
              <w:rPr>
                <w:b/>
                <w:bCs/>
              </w:rPr>
            </w:pPr>
            <w:r w:rsidRPr="00B00C7E">
              <w:rPr>
                <w:b/>
                <w:bCs/>
              </w:rPr>
              <w:t>BGF – Gewogen score</w:t>
            </w:r>
          </w:p>
        </w:tc>
        <w:tc>
          <w:tcPr>
            <w:tcW w:w="0" w:type="auto"/>
            <w:vAlign w:val="center"/>
            <w:hideMark/>
          </w:tcPr>
          <w:p w14:paraId="6DF75967" w14:textId="77777777" w:rsidR="00B00C7E" w:rsidRPr="00B00C7E" w:rsidRDefault="00B00C7E" w:rsidP="00B00C7E">
            <w:pPr>
              <w:rPr>
                <w:b/>
                <w:bCs/>
              </w:rPr>
            </w:pPr>
            <w:r w:rsidRPr="00B00C7E">
              <w:rPr>
                <w:b/>
                <w:bCs/>
              </w:rPr>
              <w:t>Triodos – Score (1–10)</w:t>
            </w:r>
          </w:p>
        </w:tc>
        <w:tc>
          <w:tcPr>
            <w:tcW w:w="0" w:type="auto"/>
            <w:vAlign w:val="center"/>
            <w:hideMark/>
          </w:tcPr>
          <w:p w14:paraId="452DC9A4" w14:textId="77777777" w:rsidR="00B00C7E" w:rsidRPr="00B00C7E" w:rsidRDefault="00B00C7E" w:rsidP="00B00C7E">
            <w:pPr>
              <w:rPr>
                <w:b/>
                <w:bCs/>
              </w:rPr>
            </w:pPr>
            <w:r w:rsidRPr="00B00C7E">
              <w:rPr>
                <w:b/>
                <w:bCs/>
              </w:rPr>
              <w:t>Triodos – Gewogen score</w:t>
            </w:r>
          </w:p>
        </w:tc>
      </w:tr>
      <w:tr w:rsidR="00B00C7E" w:rsidRPr="00B00C7E" w14:paraId="068B0DC4" w14:textId="77777777" w:rsidTr="00B00C7E">
        <w:trPr>
          <w:tblCellSpacing w:w="15" w:type="dxa"/>
        </w:trPr>
        <w:tc>
          <w:tcPr>
            <w:tcW w:w="0" w:type="auto"/>
            <w:vAlign w:val="center"/>
            <w:hideMark/>
          </w:tcPr>
          <w:p w14:paraId="1B01C722" w14:textId="77777777" w:rsidR="00B00C7E" w:rsidRPr="00B00C7E" w:rsidRDefault="00B00C7E" w:rsidP="00B00C7E">
            <w:r w:rsidRPr="00B00C7E">
              <w:t>1</w:t>
            </w:r>
          </w:p>
        </w:tc>
        <w:tc>
          <w:tcPr>
            <w:tcW w:w="0" w:type="auto"/>
            <w:vAlign w:val="center"/>
            <w:hideMark/>
          </w:tcPr>
          <w:p w14:paraId="2E411C13" w14:textId="77777777" w:rsidR="00B00C7E" w:rsidRPr="00B00C7E" w:rsidRDefault="00B00C7E" w:rsidP="00B00C7E">
            <w:r w:rsidRPr="00B00C7E">
              <w:t>Communicatie beleggingsstrategie</w:t>
            </w:r>
          </w:p>
        </w:tc>
        <w:tc>
          <w:tcPr>
            <w:tcW w:w="0" w:type="auto"/>
            <w:vAlign w:val="center"/>
            <w:hideMark/>
          </w:tcPr>
          <w:p w14:paraId="12DECBA3" w14:textId="77777777" w:rsidR="00B00C7E" w:rsidRPr="00B00C7E" w:rsidRDefault="00B00C7E" w:rsidP="00B00C7E">
            <w:r w:rsidRPr="00B00C7E">
              <w:t>10%</w:t>
            </w:r>
          </w:p>
        </w:tc>
        <w:tc>
          <w:tcPr>
            <w:tcW w:w="0" w:type="auto"/>
            <w:vAlign w:val="center"/>
            <w:hideMark/>
          </w:tcPr>
          <w:p w14:paraId="0836F1AD" w14:textId="77777777" w:rsidR="00B00C7E" w:rsidRPr="00B00C7E" w:rsidRDefault="00B00C7E" w:rsidP="00B00C7E">
            <w:r w:rsidRPr="00B00C7E">
              <w:t>8</w:t>
            </w:r>
          </w:p>
        </w:tc>
        <w:tc>
          <w:tcPr>
            <w:tcW w:w="0" w:type="auto"/>
            <w:vAlign w:val="center"/>
            <w:hideMark/>
          </w:tcPr>
          <w:p w14:paraId="3EE23BEF" w14:textId="77777777" w:rsidR="00B00C7E" w:rsidRPr="00B00C7E" w:rsidRDefault="00B00C7E" w:rsidP="00B00C7E">
            <w:r w:rsidRPr="00B00C7E">
              <w:t>0,80</w:t>
            </w:r>
          </w:p>
        </w:tc>
        <w:tc>
          <w:tcPr>
            <w:tcW w:w="0" w:type="auto"/>
            <w:vAlign w:val="center"/>
            <w:hideMark/>
          </w:tcPr>
          <w:p w14:paraId="0822219C" w14:textId="77777777" w:rsidR="00B00C7E" w:rsidRPr="00B00C7E" w:rsidRDefault="00B00C7E" w:rsidP="00B00C7E">
            <w:r w:rsidRPr="00B00C7E">
              <w:t>9</w:t>
            </w:r>
          </w:p>
        </w:tc>
        <w:tc>
          <w:tcPr>
            <w:tcW w:w="0" w:type="auto"/>
            <w:vAlign w:val="center"/>
            <w:hideMark/>
          </w:tcPr>
          <w:p w14:paraId="207012B9" w14:textId="77777777" w:rsidR="00B00C7E" w:rsidRPr="00B00C7E" w:rsidRDefault="00B00C7E" w:rsidP="00B00C7E">
            <w:r w:rsidRPr="00B00C7E">
              <w:t>0,90</w:t>
            </w:r>
          </w:p>
        </w:tc>
      </w:tr>
      <w:tr w:rsidR="00B00C7E" w:rsidRPr="00B00C7E" w14:paraId="6BBBDDFE" w14:textId="77777777" w:rsidTr="00B00C7E">
        <w:trPr>
          <w:tblCellSpacing w:w="15" w:type="dxa"/>
        </w:trPr>
        <w:tc>
          <w:tcPr>
            <w:tcW w:w="0" w:type="auto"/>
            <w:vAlign w:val="center"/>
            <w:hideMark/>
          </w:tcPr>
          <w:p w14:paraId="1F9BC16A" w14:textId="77777777" w:rsidR="00B00C7E" w:rsidRPr="00B00C7E" w:rsidRDefault="00B00C7E" w:rsidP="00B00C7E">
            <w:r w:rsidRPr="00B00C7E">
              <w:t>2</w:t>
            </w:r>
          </w:p>
        </w:tc>
        <w:tc>
          <w:tcPr>
            <w:tcW w:w="0" w:type="auto"/>
            <w:vAlign w:val="center"/>
            <w:hideMark/>
          </w:tcPr>
          <w:p w14:paraId="3557D59A" w14:textId="77777777" w:rsidR="00B00C7E" w:rsidRPr="00B00C7E" w:rsidRDefault="00B00C7E" w:rsidP="00B00C7E">
            <w:r w:rsidRPr="00B00C7E">
              <w:t>Historische risico-/rendementsverhouding</w:t>
            </w:r>
          </w:p>
        </w:tc>
        <w:tc>
          <w:tcPr>
            <w:tcW w:w="0" w:type="auto"/>
            <w:vAlign w:val="center"/>
            <w:hideMark/>
          </w:tcPr>
          <w:p w14:paraId="05AA4379" w14:textId="77777777" w:rsidR="00B00C7E" w:rsidRPr="00B00C7E" w:rsidRDefault="00B00C7E" w:rsidP="00B00C7E">
            <w:r w:rsidRPr="00B00C7E">
              <w:t>25%</w:t>
            </w:r>
          </w:p>
        </w:tc>
        <w:tc>
          <w:tcPr>
            <w:tcW w:w="0" w:type="auto"/>
            <w:vAlign w:val="center"/>
            <w:hideMark/>
          </w:tcPr>
          <w:p w14:paraId="6FEB3A38" w14:textId="77777777" w:rsidR="00B00C7E" w:rsidRPr="00B00C7E" w:rsidRDefault="00B00C7E" w:rsidP="00B00C7E">
            <w:r w:rsidRPr="00B00C7E">
              <w:t>7</w:t>
            </w:r>
          </w:p>
        </w:tc>
        <w:tc>
          <w:tcPr>
            <w:tcW w:w="0" w:type="auto"/>
            <w:vAlign w:val="center"/>
            <w:hideMark/>
          </w:tcPr>
          <w:p w14:paraId="2E255834" w14:textId="77777777" w:rsidR="00B00C7E" w:rsidRPr="00B00C7E" w:rsidRDefault="00B00C7E" w:rsidP="00B00C7E">
            <w:r w:rsidRPr="00B00C7E">
              <w:t>1,75</w:t>
            </w:r>
          </w:p>
        </w:tc>
        <w:tc>
          <w:tcPr>
            <w:tcW w:w="0" w:type="auto"/>
            <w:vAlign w:val="center"/>
            <w:hideMark/>
          </w:tcPr>
          <w:p w14:paraId="69B57F0E" w14:textId="77777777" w:rsidR="00B00C7E" w:rsidRPr="00B00C7E" w:rsidRDefault="00B00C7E" w:rsidP="00B00C7E">
            <w:r w:rsidRPr="00B00C7E">
              <w:t>6</w:t>
            </w:r>
          </w:p>
        </w:tc>
        <w:tc>
          <w:tcPr>
            <w:tcW w:w="0" w:type="auto"/>
            <w:vAlign w:val="center"/>
            <w:hideMark/>
          </w:tcPr>
          <w:p w14:paraId="72D836D1" w14:textId="77777777" w:rsidR="00B00C7E" w:rsidRPr="00B00C7E" w:rsidRDefault="00B00C7E" w:rsidP="00B00C7E">
            <w:r w:rsidRPr="00B00C7E">
              <w:t>1,50</w:t>
            </w:r>
          </w:p>
        </w:tc>
      </w:tr>
      <w:tr w:rsidR="00B00C7E" w:rsidRPr="00B00C7E" w14:paraId="7AA4D32E" w14:textId="77777777" w:rsidTr="00B00C7E">
        <w:trPr>
          <w:tblCellSpacing w:w="15" w:type="dxa"/>
        </w:trPr>
        <w:tc>
          <w:tcPr>
            <w:tcW w:w="0" w:type="auto"/>
            <w:vAlign w:val="center"/>
            <w:hideMark/>
          </w:tcPr>
          <w:p w14:paraId="21405309" w14:textId="77777777" w:rsidR="00B00C7E" w:rsidRPr="00B00C7E" w:rsidRDefault="00B00C7E" w:rsidP="00B00C7E">
            <w:r w:rsidRPr="00B00C7E">
              <w:t>3</w:t>
            </w:r>
          </w:p>
        </w:tc>
        <w:tc>
          <w:tcPr>
            <w:tcW w:w="0" w:type="auto"/>
            <w:vAlign w:val="center"/>
            <w:hideMark/>
          </w:tcPr>
          <w:p w14:paraId="3BBE3A31" w14:textId="77777777" w:rsidR="00B00C7E" w:rsidRPr="00B00C7E" w:rsidRDefault="00B00C7E" w:rsidP="00B00C7E">
            <w:r w:rsidRPr="00B00C7E">
              <w:t>Kosten</w:t>
            </w:r>
          </w:p>
        </w:tc>
        <w:tc>
          <w:tcPr>
            <w:tcW w:w="0" w:type="auto"/>
            <w:vAlign w:val="center"/>
            <w:hideMark/>
          </w:tcPr>
          <w:p w14:paraId="0BCB2CF1" w14:textId="77777777" w:rsidR="00B00C7E" w:rsidRPr="00B00C7E" w:rsidRDefault="00B00C7E" w:rsidP="00B00C7E">
            <w:r w:rsidRPr="00B00C7E">
              <w:t>15%</w:t>
            </w:r>
          </w:p>
        </w:tc>
        <w:tc>
          <w:tcPr>
            <w:tcW w:w="0" w:type="auto"/>
            <w:vAlign w:val="center"/>
            <w:hideMark/>
          </w:tcPr>
          <w:p w14:paraId="0C87C370" w14:textId="77777777" w:rsidR="00B00C7E" w:rsidRPr="00B00C7E" w:rsidRDefault="00B00C7E" w:rsidP="00B00C7E">
            <w:r w:rsidRPr="00B00C7E">
              <w:t>7</w:t>
            </w:r>
          </w:p>
        </w:tc>
        <w:tc>
          <w:tcPr>
            <w:tcW w:w="0" w:type="auto"/>
            <w:vAlign w:val="center"/>
            <w:hideMark/>
          </w:tcPr>
          <w:p w14:paraId="4F6167C5" w14:textId="77777777" w:rsidR="00B00C7E" w:rsidRPr="00B00C7E" w:rsidRDefault="00B00C7E" w:rsidP="00B00C7E">
            <w:r w:rsidRPr="00B00C7E">
              <w:t>1,05</w:t>
            </w:r>
          </w:p>
        </w:tc>
        <w:tc>
          <w:tcPr>
            <w:tcW w:w="0" w:type="auto"/>
            <w:vAlign w:val="center"/>
            <w:hideMark/>
          </w:tcPr>
          <w:p w14:paraId="66D6C05D" w14:textId="77777777" w:rsidR="00B00C7E" w:rsidRPr="00B00C7E" w:rsidRDefault="00B00C7E" w:rsidP="00B00C7E">
            <w:r w:rsidRPr="00B00C7E">
              <w:t>4</w:t>
            </w:r>
          </w:p>
        </w:tc>
        <w:tc>
          <w:tcPr>
            <w:tcW w:w="0" w:type="auto"/>
            <w:vAlign w:val="center"/>
            <w:hideMark/>
          </w:tcPr>
          <w:p w14:paraId="579E9AC8" w14:textId="77777777" w:rsidR="00B00C7E" w:rsidRPr="00B00C7E" w:rsidRDefault="00B00C7E" w:rsidP="00B00C7E">
            <w:r w:rsidRPr="00B00C7E">
              <w:t>0,60</w:t>
            </w:r>
          </w:p>
        </w:tc>
      </w:tr>
      <w:tr w:rsidR="00B00C7E" w:rsidRPr="00B00C7E" w14:paraId="63E5F0FA" w14:textId="77777777" w:rsidTr="00B00C7E">
        <w:trPr>
          <w:tblCellSpacing w:w="15" w:type="dxa"/>
        </w:trPr>
        <w:tc>
          <w:tcPr>
            <w:tcW w:w="0" w:type="auto"/>
            <w:vAlign w:val="center"/>
            <w:hideMark/>
          </w:tcPr>
          <w:p w14:paraId="20467477" w14:textId="77777777" w:rsidR="00B00C7E" w:rsidRPr="00B00C7E" w:rsidRDefault="00B00C7E" w:rsidP="00B00C7E">
            <w:r w:rsidRPr="00B00C7E">
              <w:t>4</w:t>
            </w:r>
          </w:p>
        </w:tc>
        <w:tc>
          <w:tcPr>
            <w:tcW w:w="0" w:type="auto"/>
            <w:vAlign w:val="center"/>
            <w:hideMark/>
          </w:tcPr>
          <w:p w14:paraId="49EEAA4F" w14:textId="77777777" w:rsidR="00B00C7E" w:rsidRPr="00B00C7E" w:rsidRDefault="00B00C7E" w:rsidP="00B00C7E">
            <w:r w:rsidRPr="00B00C7E">
              <w:t>Aansluiting bij strategie (duurzaamheidsbeleid etc.)</w:t>
            </w:r>
          </w:p>
        </w:tc>
        <w:tc>
          <w:tcPr>
            <w:tcW w:w="0" w:type="auto"/>
            <w:vAlign w:val="center"/>
            <w:hideMark/>
          </w:tcPr>
          <w:p w14:paraId="64087190" w14:textId="77777777" w:rsidR="00B00C7E" w:rsidRPr="00B00C7E" w:rsidRDefault="00B00C7E" w:rsidP="00B00C7E">
            <w:r w:rsidRPr="00B00C7E">
              <w:t>30%</w:t>
            </w:r>
          </w:p>
        </w:tc>
        <w:tc>
          <w:tcPr>
            <w:tcW w:w="0" w:type="auto"/>
            <w:vAlign w:val="center"/>
            <w:hideMark/>
          </w:tcPr>
          <w:p w14:paraId="32F98B7D" w14:textId="77777777" w:rsidR="00B00C7E" w:rsidRPr="00B00C7E" w:rsidRDefault="00B00C7E" w:rsidP="00B00C7E">
            <w:r w:rsidRPr="00B00C7E">
              <w:t>7</w:t>
            </w:r>
          </w:p>
        </w:tc>
        <w:tc>
          <w:tcPr>
            <w:tcW w:w="0" w:type="auto"/>
            <w:vAlign w:val="center"/>
            <w:hideMark/>
          </w:tcPr>
          <w:p w14:paraId="2A68FCA6" w14:textId="77777777" w:rsidR="00B00C7E" w:rsidRPr="00B00C7E" w:rsidRDefault="00B00C7E" w:rsidP="00B00C7E">
            <w:r w:rsidRPr="00B00C7E">
              <w:t>2,10</w:t>
            </w:r>
          </w:p>
        </w:tc>
        <w:tc>
          <w:tcPr>
            <w:tcW w:w="0" w:type="auto"/>
            <w:vAlign w:val="center"/>
            <w:hideMark/>
          </w:tcPr>
          <w:p w14:paraId="18B135AA" w14:textId="77777777" w:rsidR="00B00C7E" w:rsidRPr="00B00C7E" w:rsidRDefault="00B00C7E" w:rsidP="00B00C7E">
            <w:r w:rsidRPr="00B00C7E">
              <w:t>10</w:t>
            </w:r>
          </w:p>
        </w:tc>
        <w:tc>
          <w:tcPr>
            <w:tcW w:w="0" w:type="auto"/>
            <w:vAlign w:val="center"/>
            <w:hideMark/>
          </w:tcPr>
          <w:p w14:paraId="61646790" w14:textId="77777777" w:rsidR="00B00C7E" w:rsidRPr="00B00C7E" w:rsidRDefault="00B00C7E" w:rsidP="00B00C7E">
            <w:r w:rsidRPr="00B00C7E">
              <w:t>3,00</w:t>
            </w:r>
          </w:p>
        </w:tc>
      </w:tr>
      <w:tr w:rsidR="00B00C7E" w:rsidRPr="00B00C7E" w14:paraId="2BC5B1D0" w14:textId="77777777" w:rsidTr="00B00C7E">
        <w:trPr>
          <w:tblCellSpacing w:w="15" w:type="dxa"/>
        </w:trPr>
        <w:tc>
          <w:tcPr>
            <w:tcW w:w="0" w:type="auto"/>
            <w:vAlign w:val="center"/>
            <w:hideMark/>
          </w:tcPr>
          <w:p w14:paraId="075A95B8" w14:textId="77777777" w:rsidR="00B00C7E" w:rsidRPr="00B00C7E" w:rsidRDefault="00B00C7E" w:rsidP="00B00C7E">
            <w:r w:rsidRPr="00B00C7E">
              <w:t>5</w:t>
            </w:r>
          </w:p>
        </w:tc>
        <w:tc>
          <w:tcPr>
            <w:tcW w:w="0" w:type="auto"/>
            <w:vAlign w:val="center"/>
            <w:hideMark/>
          </w:tcPr>
          <w:p w14:paraId="392E60BA" w14:textId="77777777" w:rsidR="00B00C7E" w:rsidRPr="00B00C7E" w:rsidRDefault="00B00C7E" w:rsidP="00B00C7E">
            <w:r w:rsidRPr="00B00C7E">
              <w:t>Klimaatrisico’s (kwaliteit info)</w:t>
            </w:r>
          </w:p>
        </w:tc>
        <w:tc>
          <w:tcPr>
            <w:tcW w:w="0" w:type="auto"/>
            <w:vAlign w:val="center"/>
            <w:hideMark/>
          </w:tcPr>
          <w:p w14:paraId="434191D7" w14:textId="77777777" w:rsidR="00B00C7E" w:rsidRPr="00B00C7E" w:rsidRDefault="00B00C7E" w:rsidP="00B00C7E">
            <w:r w:rsidRPr="00B00C7E">
              <w:t>10%</w:t>
            </w:r>
          </w:p>
        </w:tc>
        <w:tc>
          <w:tcPr>
            <w:tcW w:w="0" w:type="auto"/>
            <w:vAlign w:val="center"/>
            <w:hideMark/>
          </w:tcPr>
          <w:p w14:paraId="4584CFE1" w14:textId="77777777" w:rsidR="00B00C7E" w:rsidRPr="00B00C7E" w:rsidRDefault="00B00C7E" w:rsidP="00B00C7E">
            <w:r w:rsidRPr="00B00C7E">
              <w:t>7</w:t>
            </w:r>
          </w:p>
        </w:tc>
        <w:tc>
          <w:tcPr>
            <w:tcW w:w="0" w:type="auto"/>
            <w:vAlign w:val="center"/>
            <w:hideMark/>
          </w:tcPr>
          <w:p w14:paraId="1327BE5C" w14:textId="77777777" w:rsidR="00B00C7E" w:rsidRPr="00B00C7E" w:rsidRDefault="00B00C7E" w:rsidP="00B00C7E">
            <w:r w:rsidRPr="00B00C7E">
              <w:t>0,70</w:t>
            </w:r>
          </w:p>
        </w:tc>
        <w:tc>
          <w:tcPr>
            <w:tcW w:w="0" w:type="auto"/>
            <w:vAlign w:val="center"/>
            <w:hideMark/>
          </w:tcPr>
          <w:p w14:paraId="76BE9E2B" w14:textId="77777777" w:rsidR="00B00C7E" w:rsidRPr="00B00C7E" w:rsidRDefault="00B00C7E" w:rsidP="00B00C7E">
            <w:r w:rsidRPr="00B00C7E">
              <w:t>10</w:t>
            </w:r>
          </w:p>
        </w:tc>
        <w:tc>
          <w:tcPr>
            <w:tcW w:w="0" w:type="auto"/>
            <w:vAlign w:val="center"/>
            <w:hideMark/>
          </w:tcPr>
          <w:p w14:paraId="09C6D428" w14:textId="77777777" w:rsidR="00B00C7E" w:rsidRPr="00B00C7E" w:rsidRDefault="00B00C7E" w:rsidP="00B00C7E">
            <w:r w:rsidRPr="00B00C7E">
              <w:t>1,00</w:t>
            </w:r>
          </w:p>
        </w:tc>
      </w:tr>
      <w:tr w:rsidR="00B00C7E" w:rsidRPr="00B00C7E" w14:paraId="775686DF" w14:textId="77777777" w:rsidTr="00B00C7E">
        <w:trPr>
          <w:tblCellSpacing w:w="15" w:type="dxa"/>
        </w:trPr>
        <w:tc>
          <w:tcPr>
            <w:tcW w:w="0" w:type="auto"/>
            <w:vAlign w:val="center"/>
            <w:hideMark/>
          </w:tcPr>
          <w:p w14:paraId="5A4343A4" w14:textId="77777777" w:rsidR="00B00C7E" w:rsidRPr="00B00C7E" w:rsidRDefault="00B00C7E" w:rsidP="00B00C7E">
            <w:r w:rsidRPr="00B00C7E">
              <w:t>6</w:t>
            </w:r>
          </w:p>
        </w:tc>
        <w:tc>
          <w:tcPr>
            <w:tcW w:w="0" w:type="auto"/>
            <w:vAlign w:val="center"/>
            <w:hideMark/>
          </w:tcPr>
          <w:p w14:paraId="6186C491" w14:textId="77777777" w:rsidR="00B00C7E" w:rsidRPr="00B00C7E" w:rsidRDefault="00B00C7E" w:rsidP="00B00C7E">
            <w:r w:rsidRPr="00B00C7E">
              <w:t>Klantcommunicatie over duurzaamheid</w:t>
            </w:r>
          </w:p>
        </w:tc>
        <w:tc>
          <w:tcPr>
            <w:tcW w:w="0" w:type="auto"/>
            <w:vAlign w:val="center"/>
            <w:hideMark/>
          </w:tcPr>
          <w:p w14:paraId="0A2FCE4A" w14:textId="77777777" w:rsidR="00B00C7E" w:rsidRPr="00B00C7E" w:rsidRDefault="00B00C7E" w:rsidP="00B00C7E">
            <w:r w:rsidRPr="00B00C7E">
              <w:t>10%</w:t>
            </w:r>
          </w:p>
        </w:tc>
        <w:tc>
          <w:tcPr>
            <w:tcW w:w="0" w:type="auto"/>
            <w:vAlign w:val="center"/>
            <w:hideMark/>
          </w:tcPr>
          <w:p w14:paraId="670997AA" w14:textId="77777777" w:rsidR="00B00C7E" w:rsidRPr="00B00C7E" w:rsidRDefault="00B00C7E" w:rsidP="00B00C7E">
            <w:r w:rsidRPr="00B00C7E">
              <w:t>6</w:t>
            </w:r>
          </w:p>
        </w:tc>
        <w:tc>
          <w:tcPr>
            <w:tcW w:w="0" w:type="auto"/>
            <w:vAlign w:val="center"/>
            <w:hideMark/>
          </w:tcPr>
          <w:p w14:paraId="760C4A18" w14:textId="77777777" w:rsidR="00B00C7E" w:rsidRPr="00B00C7E" w:rsidRDefault="00B00C7E" w:rsidP="00B00C7E">
            <w:r w:rsidRPr="00B00C7E">
              <w:t>0,60</w:t>
            </w:r>
          </w:p>
        </w:tc>
        <w:tc>
          <w:tcPr>
            <w:tcW w:w="0" w:type="auto"/>
            <w:vAlign w:val="center"/>
            <w:hideMark/>
          </w:tcPr>
          <w:p w14:paraId="508365CA" w14:textId="77777777" w:rsidR="00B00C7E" w:rsidRPr="00B00C7E" w:rsidRDefault="00B00C7E" w:rsidP="00B00C7E">
            <w:r w:rsidRPr="00B00C7E">
              <w:t>9</w:t>
            </w:r>
          </w:p>
        </w:tc>
        <w:tc>
          <w:tcPr>
            <w:tcW w:w="0" w:type="auto"/>
            <w:vAlign w:val="center"/>
            <w:hideMark/>
          </w:tcPr>
          <w:p w14:paraId="5BE4E5F3" w14:textId="77777777" w:rsidR="00B00C7E" w:rsidRPr="00B00C7E" w:rsidRDefault="00B00C7E" w:rsidP="00B00C7E">
            <w:r w:rsidRPr="00B00C7E">
              <w:t>0,90</w:t>
            </w:r>
          </w:p>
        </w:tc>
      </w:tr>
      <w:tr w:rsidR="00B00C7E" w:rsidRPr="00B00C7E" w14:paraId="3A8DBD0D" w14:textId="77777777" w:rsidTr="00B00C7E">
        <w:trPr>
          <w:tblCellSpacing w:w="15" w:type="dxa"/>
        </w:trPr>
        <w:tc>
          <w:tcPr>
            <w:tcW w:w="0" w:type="auto"/>
            <w:vAlign w:val="center"/>
            <w:hideMark/>
          </w:tcPr>
          <w:p w14:paraId="4D8112EB" w14:textId="77777777" w:rsidR="00B00C7E" w:rsidRPr="00B00C7E" w:rsidRDefault="00B00C7E" w:rsidP="00B00C7E"/>
        </w:tc>
        <w:tc>
          <w:tcPr>
            <w:tcW w:w="0" w:type="auto"/>
            <w:vAlign w:val="center"/>
            <w:hideMark/>
          </w:tcPr>
          <w:p w14:paraId="6BBFAF97" w14:textId="77777777" w:rsidR="00B00C7E" w:rsidRPr="00B00C7E" w:rsidRDefault="00B00C7E" w:rsidP="00B00C7E">
            <w:r w:rsidRPr="00B00C7E">
              <w:rPr>
                <w:b/>
                <w:bCs/>
              </w:rPr>
              <w:t>Totaalscore</w:t>
            </w:r>
          </w:p>
        </w:tc>
        <w:tc>
          <w:tcPr>
            <w:tcW w:w="0" w:type="auto"/>
            <w:vAlign w:val="center"/>
            <w:hideMark/>
          </w:tcPr>
          <w:p w14:paraId="33C0151D" w14:textId="77777777" w:rsidR="00B00C7E" w:rsidRPr="00B00C7E" w:rsidRDefault="00B00C7E" w:rsidP="00B00C7E">
            <w:r w:rsidRPr="00B00C7E">
              <w:rPr>
                <w:b/>
                <w:bCs/>
              </w:rPr>
              <w:t>100%</w:t>
            </w:r>
          </w:p>
        </w:tc>
        <w:tc>
          <w:tcPr>
            <w:tcW w:w="0" w:type="auto"/>
            <w:vAlign w:val="center"/>
            <w:hideMark/>
          </w:tcPr>
          <w:p w14:paraId="6AF6CAAE" w14:textId="77777777" w:rsidR="00B00C7E" w:rsidRPr="00B00C7E" w:rsidRDefault="00B00C7E" w:rsidP="00B00C7E"/>
        </w:tc>
        <w:tc>
          <w:tcPr>
            <w:tcW w:w="0" w:type="auto"/>
            <w:vAlign w:val="center"/>
            <w:hideMark/>
          </w:tcPr>
          <w:p w14:paraId="18CA6A8D" w14:textId="77777777" w:rsidR="00B00C7E" w:rsidRPr="00B00C7E" w:rsidRDefault="00B00C7E" w:rsidP="00B00C7E">
            <w:r w:rsidRPr="00B00C7E">
              <w:rPr>
                <w:b/>
                <w:bCs/>
              </w:rPr>
              <w:t>7,00</w:t>
            </w:r>
          </w:p>
        </w:tc>
        <w:tc>
          <w:tcPr>
            <w:tcW w:w="0" w:type="auto"/>
            <w:vAlign w:val="center"/>
            <w:hideMark/>
          </w:tcPr>
          <w:p w14:paraId="28666815" w14:textId="77777777" w:rsidR="00B00C7E" w:rsidRPr="00B00C7E" w:rsidRDefault="00B00C7E" w:rsidP="00B00C7E"/>
        </w:tc>
        <w:tc>
          <w:tcPr>
            <w:tcW w:w="0" w:type="auto"/>
            <w:vAlign w:val="center"/>
            <w:hideMark/>
          </w:tcPr>
          <w:p w14:paraId="7BB3C4B1" w14:textId="77777777" w:rsidR="00B00C7E" w:rsidRPr="00B00C7E" w:rsidRDefault="00B00C7E" w:rsidP="00B00C7E">
            <w:r w:rsidRPr="00B00C7E">
              <w:rPr>
                <w:b/>
                <w:bCs/>
              </w:rPr>
              <w:t>7,90</w:t>
            </w:r>
          </w:p>
        </w:tc>
      </w:tr>
    </w:tbl>
    <w:p w14:paraId="23ABCC9C" w14:textId="1A6F12EA" w:rsidR="162A4C99" w:rsidRPr="00B00C7E" w:rsidRDefault="162A4C99" w:rsidP="162A4C99">
      <w:pPr>
        <w:rPr>
          <w:lang w:val="en-US"/>
        </w:rPr>
      </w:pPr>
    </w:p>
    <w:p w14:paraId="3D399D3A" w14:textId="65BB3541" w:rsidR="162A4C99" w:rsidRDefault="162A4C99" w:rsidP="162A4C99">
      <w:pPr>
        <w:rPr>
          <w:lang w:val="en-US"/>
        </w:rPr>
      </w:pPr>
    </w:p>
    <w:p w14:paraId="3C19F5FB" w14:textId="77777777" w:rsidR="00003051" w:rsidRDefault="00003051" w:rsidP="162A4C99">
      <w:pPr>
        <w:rPr>
          <w:lang w:val="en-US"/>
        </w:rPr>
      </w:pPr>
    </w:p>
    <w:p w14:paraId="10B23E98" w14:textId="77777777" w:rsidR="009B4AEF" w:rsidRDefault="009B4AEF" w:rsidP="162A4C99">
      <w:pPr>
        <w:rPr>
          <w:lang w:val="en-US"/>
        </w:rPr>
      </w:pPr>
    </w:p>
    <w:p w14:paraId="2FEE0933" w14:textId="77777777" w:rsidR="009B4AEF" w:rsidRDefault="009B4AEF" w:rsidP="162A4C99">
      <w:pPr>
        <w:rPr>
          <w:lang w:val="en-US"/>
        </w:rPr>
      </w:pPr>
    </w:p>
    <w:p w14:paraId="11DBFE0C" w14:textId="77777777" w:rsidR="009B4AEF" w:rsidRDefault="009B4AEF" w:rsidP="162A4C99">
      <w:pPr>
        <w:rPr>
          <w:lang w:val="en-US"/>
        </w:rPr>
      </w:pPr>
    </w:p>
    <w:p w14:paraId="0A855DA8" w14:textId="77777777" w:rsidR="009B4AEF" w:rsidRDefault="009B4AEF" w:rsidP="162A4C99">
      <w:pPr>
        <w:rPr>
          <w:lang w:val="en-US"/>
        </w:rPr>
      </w:pPr>
    </w:p>
    <w:p w14:paraId="32FA6C78" w14:textId="77777777" w:rsidR="009B4AEF" w:rsidRDefault="009B4AEF" w:rsidP="162A4C99">
      <w:pPr>
        <w:rPr>
          <w:lang w:val="en-US"/>
        </w:rPr>
      </w:pPr>
    </w:p>
    <w:p w14:paraId="024743A9" w14:textId="77777777" w:rsidR="009B4AEF" w:rsidRDefault="009B4AEF" w:rsidP="162A4C99">
      <w:pPr>
        <w:rPr>
          <w:lang w:val="en-US"/>
        </w:rPr>
      </w:pPr>
    </w:p>
    <w:p w14:paraId="7F05546D" w14:textId="77777777" w:rsidR="009B4AEF" w:rsidRDefault="009B4AEF" w:rsidP="162A4C99">
      <w:pPr>
        <w:rPr>
          <w:lang w:val="en-US"/>
        </w:rPr>
      </w:pPr>
    </w:p>
    <w:p w14:paraId="24AFDC48" w14:textId="77777777" w:rsidR="009B4AEF" w:rsidRDefault="009B4AEF" w:rsidP="162A4C99">
      <w:pPr>
        <w:rPr>
          <w:lang w:val="en-US"/>
        </w:rPr>
      </w:pPr>
    </w:p>
    <w:p w14:paraId="3C38DE49" w14:textId="4F27AC67" w:rsidR="009B4AEF" w:rsidRDefault="009B4AEF" w:rsidP="005A3E59">
      <w:pPr>
        <w:pStyle w:val="Heading1"/>
        <w:rPr>
          <w:lang w:val="en-US"/>
        </w:rPr>
      </w:pPr>
      <w:bookmarkStart w:id="25" w:name="_Toc218449564"/>
      <w:r>
        <w:rPr>
          <w:lang w:val="en-US"/>
        </w:rPr>
        <w:t xml:space="preserve">7. </w:t>
      </w:r>
      <w:proofErr w:type="spellStart"/>
      <w:r w:rsidR="005A3E59">
        <w:rPr>
          <w:lang w:val="en-US"/>
        </w:rPr>
        <w:t>Selectie</w:t>
      </w:r>
      <w:proofErr w:type="spellEnd"/>
      <w:r w:rsidR="005A3E59">
        <w:rPr>
          <w:lang w:val="en-US"/>
        </w:rPr>
        <w:t xml:space="preserve"> </w:t>
      </w:r>
      <w:proofErr w:type="spellStart"/>
      <w:r w:rsidR="005A3E59">
        <w:rPr>
          <w:lang w:val="en-US"/>
        </w:rPr>
        <w:t>obligatiefondsen</w:t>
      </w:r>
      <w:bookmarkEnd w:id="25"/>
      <w:proofErr w:type="spellEnd"/>
    </w:p>
    <w:p w14:paraId="50A096F4" w14:textId="298E2516" w:rsidR="00D550FF" w:rsidRPr="00D550FF" w:rsidRDefault="00D550FF" w:rsidP="00D550FF">
      <w:pPr>
        <w:pStyle w:val="Heading2"/>
      </w:pPr>
      <w:bookmarkStart w:id="26" w:name="_Toc218449565"/>
      <w:r>
        <w:t xml:space="preserve">7.1 </w:t>
      </w:r>
      <w:r w:rsidRPr="00D550FF">
        <w:t>Beslissingsmatrix BNP Paribas Asset Management</w:t>
      </w:r>
      <w:bookmarkEnd w:id="26"/>
    </w:p>
    <w:tbl>
      <w:tblPr>
        <w:tblW w:w="89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917"/>
        <w:gridCol w:w="1163"/>
        <w:gridCol w:w="722"/>
        <w:gridCol w:w="1507"/>
        <w:gridCol w:w="1431"/>
        <w:gridCol w:w="1426"/>
        <w:gridCol w:w="679"/>
      </w:tblGrid>
      <w:tr w:rsidR="00B07164" w:rsidRPr="00D550FF" w14:paraId="068014F2" w14:textId="77777777" w:rsidTr="00B07164">
        <w:trPr>
          <w:trHeight w:val="1124"/>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BCBF79E" w14:textId="77777777" w:rsidR="00D550FF" w:rsidRPr="00D550FF" w:rsidRDefault="00D550FF" w:rsidP="00D550FF">
            <w:pPr>
              <w:rPr>
                <w:b/>
                <w:bCs/>
              </w:rPr>
            </w:pPr>
            <w:r w:rsidRPr="00D550FF">
              <w:rPr>
                <w:b/>
                <w:bCs/>
              </w:rPr>
              <w:t>Fonds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E72E3C" w14:textId="77777777" w:rsidR="00D550FF" w:rsidRPr="00D550FF" w:rsidRDefault="00D550FF" w:rsidP="00D550FF">
            <w:pPr>
              <w:rPr>
                <w:b/>
                <w:bCs/>
              </w:rPr>
            </w:pPr>
            <w:r w:rsidRPr="00D550FF">
              <w:rPr>
                <w:b/>
                <w:bCs/>
              </w:rPr>
              <w:t>Strategie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1E5725D" w14:textId="77777777" w:rsidR="00D550FF" w:rsidRPr="00D550FF" w:rsidRDefault="00D550FF" w:rsidP="00D550FF">
            <w:pPr>
              <w:rPr>
                <w:b/>
                <w:bCs/>
              </w:rPr>
            </w:pPr>
            <w:r w:rsidRPr="00D550FF">
              <w:rPr>
                <w:b/>
                <w:bCs/>
              </w:rPr>
              <w:t>Risico/ Rendement 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6126F6" w14:textId="77777777" w:rsidR="00D550FF" w:rsidRPr="00D550FF" w:rsidRDefault="00D550FF" w:rsidP="00D550FF">
            <w:pPr>
              <w:rPr>
                <w:b/>
                <w:bCs/>
              </w:rPr>
            </w:pPr>
            <w:r w:rsidRPr="00D550FF">
              <w:rPr>
                <w:b/>
                <w:bCs/>
              </w:rPr>
              <w:t>Kosten 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2088A8" w14:textId="77777777" w:rsidR="00D550FF" w:rsidRPr="00D550FF" w:rsidRDefault="00D550FF" w:rsidP="00D550FF">
            <w:pPr>
              <w:rPr>
                <w:b/>
                <w:bCs/>
              </w:rPr>
            </w:pPr>
            <w:r w:rsidRPr="00D550FF">
              <w:rPr>
                <w:b/>
                <w:bCs/>
              </w:rPr>
              <w:t xml:space="preserve">Fit </w:t>
            </w:r>
            <w:proofErr w:type="spellStart"/>
            <w:r w:rsidRPr="00D550FF">
              <w:rPr>
                <w:b/>
                <w:bCs/>
              </w:rPr>
              <w:t>Vermogenthuis</w:t>
            </w:r>
            <w:proofErr w:type="spellEnd"/>
            <w:r w:rsidRPr="00D550FF">
              <w:rPr>
                <w:b/>
                <w:bCs/>
              </w:rPr>
              <w:t xml:space="preserve"> 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274DFA" w14:textId="77777777" w:rsidR="00D550FF" w:rsidRPr="00D550FF" w:rsidRDefault="00D550FF" w:rsidP="00D550FF">
            <w:pPr>
              <w:rPr>
                <w:b/>
                <w:bCs/>
              </w:rPr>
            </w:pPr>
            <w:r w:rsidRPr="00D550FF">
              <w:rPr>
                <w:b/>
                <w:bCs/>
              </w:rPr>
              <w:t>Klimaatrisico’s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E74B76" w14:textId="77777777" w:rsidR="00D550FF" w:rsidRPr="00D550FF" w:rsidRDefault="00D550FF" w:rsidP="00D550FF">
            <w:pPr>
              <w:rPr>
                <w:b/>
                <w:bCs/>
              </w:rPr>
            </w:pPr>
            <w:r w:rsidRPr="00D550FF">
              <w:rPr>
                <w:b/>
                <w:bCs/>
              </w:rPr>
              <w:t>Communicatie 10%</w:t>
            </w:r>
          </w:p>
        </w:tc>
        <w:tc>
          <w:tcPr>
            <w:tcW w:w="6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946A6F6" w14:textId="77777777" w:rsidR="00D550FF" w:rsidRPr="00D550FF" w:rsidRDefault="00D550FF" w:rsidP="00D550FF">
            <w:pPr>
              <w:rPr>
                <w:b/>
                <w:bCs/>
              </w:rPr>
            </w:pPr>
            <w:r w:rsidRPr="00D550FF">
              <w:rPr>
                <w:b/>
                <w:bCs/>
              </w:rPr>
              <w:t>Totaal</w:t>
            </w:r>
          </w:p>
        </w:tc>
      </w:tr>
      <w:tr w:rsidR="00B07164" w:rsidRPr="00D550FF" w14:paraId="3E638249" w14:textId="77777777" w:rsidTr="00B07164">
        <w:trPr>
          <w:trHeight w:val="1439"/>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B038C4" w14:textId="77777777" w:rsidR="00D550FF" w:rsidRPr="00D550FF" w:rsidRDefault="00D550FF" w:rsidP="00D550FF">
            <w:r w:rsidRPr="00D550FF">
              <w:rPr>
                <w:b/>
                <w:bCs/>
              </w:rPr>
              <w:t xml:space="preserve">BNP </w:t>
            </w:r>
            <w:proofErr w:type="spellStart"/>
            <w:r w:rsidRPr="00D550FF">
              <w:rPr>
                <w:b/>
                <w:bCs/>
              </w:rPr>
              <w:t>Sustainable</w:t>
            </w:r>
            <w:proofErr w:type="spellEnd"/>
            <w:r w:rsidRPr="00D550FF">
              <w:rPr>
                <w:b/>
                <w:bCs/>
              </w:rPr>
              <w:t xml:space="preserve"> Global </w:t>
            </w:r>
            <w:proofErr w:type="spellStart"/>
            <w:r w:rsidRPr="00D550FF">
              <w:rPr>
                <w:b/>
                <w:bCs/>
              </w:rPr>
              <w:t>Equity</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7EA187"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07884A"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046D54"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E2FF77"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6F4ACD"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957AC1" w14:textId="77777777" w:rsidR="00D550FF" w:rsidRPr="00D550FF" w:rsidRDefault="00D550FF" w:rsidP="00D550FF">
            <w:r w:rsidRPr="00D550FF">
              <w:t>8</w:t>
            </w:r>
          </w:p>
        </w:tc>
        <w:tc>
          <w:tcPr>
            <w:tcW w:w="6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93279E" w14:textId="77777777" w:rsidR="00D550FF" w:rsidRPr="00D550FF" w:rsidRDefault="00D550FF" w:rsidP="00D550FF">
            <w:r w:rsidRPr="00D550FF">
              <w:rPr>
                <w:b/>
                <w:bCs/>
              </w:rPr>
              <w:t>7.45</w:t>
            </w:r>
          </w:p>
        </w:tc>
      </w:tr>
      <w:tr w:rsidR="00B07164" w:rsidRPr="00D550FF" w14:paraId="7FAE0F58" w14:textId="77777777" w:rsidTr="00B07164">
        <w:trPr>
          <w:trHeight w:val="1110"/>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9F29B" w14:textId="77777777" w:rsidR="00D550FF" w:rsidRPr="00D550FF" w:rsidRDefault="00D550FF" w:rsidP="00D550FF">
            <w:r w:rsidRPr="00D550FF">
              <w:rPr>
                <w:b/>
                <w:bCs/>
              </w:rPr>
              <w:t xml:space="preserve">BNP Global </w:t>
            </w:r>
            <w:proofErr w:type="spellStart"/>
            <w:r w:rsidRPr="00D550FF">
              <w:rPr>
                <w:b/>
                <w:bCs/>
              </w:rPr>
              <w:t>Sustainable</w:t>
            </w:r>
            <w:proofErr w:type="spellEnd"/>
            <w:r w:rsidRPr="00D550FF">
              <w:rPr>
                <w:b/>
                <w:bCs/>
              </w:rPr>
              <w:t xml:space="preserve"> Bond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2CCDBE"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DDDD05"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874F158"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95B7F6D"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347D38"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B4BAA9" w14:textId="77777777" w:rsidR="00D550FF" w:rsidRPr="00D550FF" w:rsidRDefault="00D550FF" w:rsidP="00D550FF">
            <w:r w:rsidRPr="00D550FF">
              <w:t>7</w:t>
            </w:r>
          </w:p>
        </w:tc>
        <w:tc>
          <w:tcPr>
            <w:tcW w:w="6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69E61F" w14:textId="77777777" w:rsidR="00D550FF" w:rsidRPr="00D550FF" w:rsidRDefault="00D550FF" w:rsidP="00D550FF">
            <w:r w:rsidRPr="00D550FF">
              <w:rPr>
                <w:b/>
                <w:bCs/>
              </w:rPr>
              <w:t>7.05</w:t>
            </w:r>
          </w:p>
        </w:tc>
      </w:tr>
      <w:tr w:rsidR="00B07164" w:rsidRPr="00D550FF" w14:paraId="3F422C23" w14:textId="77777777" w:rsidTr="00B07164">
        <w:trPr>
          <w:trHeight w:val="782"/>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8FAC3D" w14:textId="77777777" w:rsidR="00D550FF" w:rsidRPr="00D550FF" w:rsidRDefault="00D550FF" w:rsidP="00D550FF">
            <w:r w:rsidRPr="00D550FF">
              <w:rPr>
                <w:b/>
                <w:bCs/>
              </w:rPr>
              <w:t xml:space="preserve">BNP Energy </w:t>
            </w:r>
            <w:proofErr w:type="spellStart"/>
            <w:r w:rsidRPr="00D550FF">
              <w:rPr>
                <w:b/>
                <w:bCs/>
              </w:rPr>
              <w:t>Transition</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CF7102"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2F3331"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CBB3FE" w14:textId="77777777" w:rsidR="00D550FF" w:rsidRPr="00D550FF" w:rsidRDefault="00D550FF" w:rsidP="00D550FF">
            <w:r w:rsidRPr="00D550FF">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C50544"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67F46C"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C188A3C" w14:textId="77777777" w:rsidR="00D550FF" w:rsidRPr="00D550FF" w:rsidRDefault="00D550FF" w:rsidP="00D550FF">
            <w:r w:rsidRPr="00D550FF">
              <w:t>8</w:t>
            </w:r>
          </w:p>
        </w:tc>
        <w:tc>
          <w:tcPr>
            <w:tcW w:w="6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47BDFB7" w14:textId="77777777" w:rsidR="00D550FF" w:rsidRPr="00D550FF" w:rsidRDefault="00D550FF" w:rsidP="00D550FF">
            <w:r w:rsidRPr="00D550FF">
              <w:rPr>
                <w:b/>
                <w:bCs/>
              </w:rPr>
              <w:t>7.45</w:t>
            </w:r>
          </w:p>
        </w:tc>
      </w:tr>
      <w:tr w:rsidR="00B07164" w:rsidRPr="00D550FF" w14:paraId="320D4FFD" w14:textId="77777777" w:rsidTr="00B07164">
        <w:trPr>
          <w:trHeight w:val="79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8A402D5" w14:textId="77777777" w:rsidR="00D550FF" w:rsidRPr="00D550FF" w:rsidRDefault="00D550FF" w:rsidP="00D550FF">
            <w:r w:rsidRPr="00D550FF">
              <w:rPr>
                <w:b/>
                <w:bCs/>
              </w:rPr>
              <w:t>BNP Smart Food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0D8BE1"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BC2328"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9DAF71"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6049D5"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FD4AAB"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26573C" w14:textId="77777777" w:rsidR="00D550FF" w:rsidRPr="00D550FF" w:rsidRDefault="00D550FF" w:rsidP="00D550FF">
            <w:r w:rsidRPr="00D550FF">
              <w:t>8</w:t>
            </w:r>
          </w:p>
        </w:tc>
        <w:tc>
          <w:tcPr>
            <w:tcW w:w="6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2EDA630" w14:textId="77777777" w:rsidR="00D550FF" w:rsidRPr="00D550FF" w:rsidRDefault="00D550FF" w:rsidP="00D550FF">
            <w:r w:rsidRPr="00D550FF">
              <w:rPr>
                <w:b/>
                <w:bCs/>
              </w:rPr>
              <w:t>7.25</w:t>
            </w:r>
          </w:p>
        </w:tc>
      </w:tr>
    </w:tbl>
    <w:p w14:paraId="43C25A80" w14:textId="77777777" w:rsidR="00D550FF" w:rsidRDefault="00D550FF" w:rsidP="00D550FF">
      <w:r w:rsidRPr="00D550FF">
        <w:t xml:space="preserve"> </w:t>
      </w:r>
    </w:p>
    <w:p w14:paraId="5FBBDC2F" w14:textId="77777777" w:rsidR="00B07164" w:rsidRDefault="00B07164" w:rsidP="00D550FF"/>
    <w:p w14:paraId="65B48C99" w14:textId="77777777" w:rsidR="00B07164" w:rsidRDefault="00B07164" w:rsidP="00D550FF"/>
    <w:p w14:paraId="662AD9B3" w14:textId="77777777" w:rsidR="00B07164" w:rsidRDefault="00B07164" w:rsidP="00D550FF"/>
    <w:p w14:paraId="1ECD7E3E" w14:textId="77777777" w:rsidR="00B07164" w:rsidRDefault="00B07164" w:rsidP="00D550FF"/>
    <w:p w14:paraId="1FDC45FD" w14:textId="77777777" w:rsidR="00B07164" w:rsidRDefault="00B07164" w:rsidP="00D550FF"/>
    <w:p w14:paraId="2189D148" w14:textId="77777777" w:rsidR="00B07164" w:rsidRDefault="00B07164" w:rsidP="00D550FF"/>
    <w:p w14:paraId="738F7114" w14:textId="77777777" w:rsidR="00B07164" w:rsidRDefault="00B07164" w:rsidP="00D550FF"/>
    <w:p w14:paraId="41ACBFB7" w14:textId="77777777" w:rsidR="00B07164" w:rsidRPr="00D550FF" w:rsidRDefault="00B07164" w:rsidP="00D550FF"/>
    <w:p w14:paraId="1216C62E" w14:textId="1BE7E021" w:rsidR="00D550FF" w:rsidRPr="00D550FF" w:rsidRDefault="00B07164" w:rsidP="00B07164">
      <w:pPr>
        <w:pStyle w:val="Heading2"/>
      </w:pPr>
      <w:bookmarkStart w:id="27" w:name="_Toc218449566"/>
      <w:r>
        <w:t xml:space="preserve">7.2 </w:t>
      </w:r>
      <w:r w:rsidR="00D550FF" w:rsidRPr="00D550FF">
        <w:t>Beslissingsmatrix Blackrock</w:t>
      </w:r>
      <w:bookmarkEnd w:id="27"/>
    </w:p>
    <w:tbl>
      <w:tblPr>
        <w:tblW w:w="885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931"/>
        <w:gridCol w:w="1181"/>
        <w:gridCol w:w="732"/>
        <w:gridCol w:w="1531"/>
        <w:gridCol w:w="1454"/>
        <w:gridCol w:w="1448"/>
        <w:gridCol w:w="689"/>
      </w:tblGrid>
      <w:tr w:rsidR="00B07164" w:rsidRPr="00D550FF" w14:paraId="458037BC" w14:textId="77777777" w:rsidTr="00B07164">
        <w:trPr>
          <w:trHeight w:val="1060"/>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EBD98D9" w14:textId="77777777" w:rsidR="00D550FF" w:rsidRPr="00D550FF" w:rsidRDefault="00D550FF" w:rsidP="00D550FF">
            <w:pPr>
              <w:rPr>
                <w:b/>
                <w:bCs/>
              </w:rPr>
            </w:pPr>
            <w:r w:rsidRPr="00D550FF">
              <w:rPr>
                <w:b/>
                <w:bCs/>
              </w:rPr>
              <w:t>Fonds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9D70E9" w14:textId="77777777" w:rsidR="00D550FF" w:rsidRPr="00D550FF" w:rsidRDefault="00D550FF" w:rsidP="00D550FF">
            <w:pPr>
              <w:rPr>
                <w:b/>
                <w:bCs/>
              </w:rPr>
            </w:pPr>
            <w:r w:rsidRPr="00D550FF">
              <w:rPr>
                <w:b/>
                <w:bCs/>
              </w:rPr>
              <w:t>Strategie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15757" w14:textId="77777777" w:rsidR="00D550FF" w:rsidRPr="00D550FF" w:rsidRDefault="00D550FF" w:rsidP="00D550FF">
            <w:pPr>
              <w:rPr>
                <w:b/>
                <w:bCs/>
              </w:rPr>
            </w:pPr>
            <w:r w:rsidRPr="00D550FF">
              <w:rPr>
                <w:b/>
                <w:bCs/>
              </w:rPr>
              <w:t>Risico/ Rendement 25%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805D07" w14:textId="77777777" w:rsidR="00D550FF" w:rsidRPr="00D550FF" w:rsidRDefault="00D550FF" w:rsidP="00D550FF">
            <w:pPr>
              <w:rPr>
                <w:b/>
                <w:bCs/>
              </w:rPr>
            </w:pPr>
            <w:r w:rsidRPr="00D550FF">
              <w:rPr>
                <w:b/>
                <w:bCs/>
              </w:rPr>
              <w:t>Kosten 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A7DA6C4" w14:textId="77777777" w:rsidR="00D550FF" w:rsidRPr="00D550FF" w:rsidRDefault="00D550FF" w:rsidP="00D550FF">
            <w:pPr>
              <w:rPr>
                <w:b/>
                <w:bCs/>
              </w:rPr>
            </w:pPr>
            <w:r w:rsidRPr="00D550FF">
              <w:rPr>
                <w:b/>
                <w:bCs/>
              </w:rPr>
              <w:t xml:space="preserve">Fit </w:t>
            </w:r>
            <w:proofErr w:type="spellStart"/>
            <w:r w:rsidRPr="00D550FF">
              <w:rPr>
                <w:b/>
                <w:bCs/>
              </w:rPr>
              <w:t>Vermogenthuis</w:t>
            </w:r>
            <w:proofErr w:type="spellEnd"/>
            <w:r w:rsidRPr="00D550FF">
              <w:rPr>
                <w:b/>
                <w:bCs/>
              </w:rPr>
              <w:t xml:space="preserve"> 30%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738326" w14:textId="77777777" w:rsidR="00D550FF" w:rsidRPr="00D550FF" w:rsidRDefault="00D550FF" w:rsidP="00D550FF">
            <w:pPr>
              <w:rPr>
                <w:b/>
                <w:bCs/>
              </w:rPr>
            </w:pPr>
            <w:r w:rsidRPr="00D550FF">
              <w:rPr>
                <w:b/>
                <w:bCs/>
              </w:rPr>
              <w:t>Klimaatrisico’s 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77B0965" w14:textId="77777777" w:rsidR="00D550FF" w:rsidRPr="00D550FF" w:rsidRDefault="00D550FF" w:rsidP="00D550FF">
            <w:pPr>
              <w:rPr>
                <w:b/>
                <w:bCs/>
              </w:rPr>
            </w:pPr>
            <w:r w:rsidRPr="00D550FF">
              <w:rPr>
                <w:b/>
                <w:bCs/>
              </w:rPr>
              <w:t>Communicatie 10%</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43132" w14:textId="77777777" w:rsidR="00D550FF" w:rsidRPr="00D550FF" w:rsidRDefault="00D550FF" w:rsidP="00D550FF">
            <w:pPr>
              <w:rPr>
                <w:b/>
                <w:bCs/>
              </w:rPr>
            </w:pPr>
            <w:r w:rsidRPr="00D550FF">
              <w:rPr>
                <w:b/>
                <w:bCs/>
              </w:rPr>
              <w:t>Totaal</w:t>
            </w:r>
          </w:p>
        </w:tc>
      </w:tr>
      <w:tr w:rsidR="00B07164" w:rsidRPr="00D550FF" w14:paraId="376016E9" w14:textId="77777777" w:rsidTr="00B07164">
        <w:trPr>
          <w:trHeight w:val="1357"/>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2E708B4" w14:textId="77777777" w:rsidR="00D550FF" w:rsidRPr="00D550FF" w:rsidRDefault="00D550FF" w:rsidP="00D550FF">
            <w:r w:rsidRPr="00D550FF">
              <w:rPr>
                <w:b/>
                <w:bCs/>
              </w:rPr>
              <w:t xml:space="preserve">BLK Global </w:t>
            </w:r>
            <w:proofErr w:type="spellStart"/>
            <w:r w:rsidRPr="00D550FF">
              <w:rPr>
                <w:b/>
                <w:bCs/>
              </w:rPr>
              <w:t>Equity</w:t>
            </w:r>
            <w:proofErr w:type="spellEnd"/>
            <w:r w:rsidRPr="00D550FF">
              <w:rPr>
                <w:b/>
                <w:bCs/>
              </w:rPr>
              <w:t xml:space="preserve"> ESG</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45C053"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F00F50"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883DC4"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B6498A"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B301BF5"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D6458" w14:textId="77777777" w:rsidR="00D550FF" w:rsidRPr="00D550FF" w:rsidRDefault="00D550FF" w:rsidP="00D550FF">
            <w:r w:rsidRPr="00D550FF">
              <w:t>7</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EF2B62" w14:textId="77777777" w:rsidR="00D550FF" w:rsidRPr="00D550FF" w:rsidRDefault="00D550FF" w:rsidP="00D550FF">
            <w:r w:rsidRPr="00D550FF">
              <w:rPr>
                <w:b/>
                <w:bCs/>
              </w:rPr>
              <w:t>6.90</w:t>
            </w:r>
          </w:p>
        </w:tc>
      </w:tr>
      <w:tr w:rsidR="00B07164" w:rsidRPr="00D550FF" w14:paraId="3EDC04C3" w14:textId="77777777" w:rsidTr="00B07164">
        <w:trPr>
          <w:trHeight w:val="1343"/>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5BA6FB" w14:textId="77777777" w:rsidR="00D550FF" w:rsidRPr="00D550FF" w:rsidRDefault="00D550FF" w:rsidP="00D550FF">
            <w:pPr>
              <w:rPr>
                <w:lang w:val="en-GB"/>
              </w:rPr>
            </w:pPr>
            <w:r w:rsidRPr="00D550FF">
              <w:rPr>
                <w:b/>
                <w:bCs/>
                <w:lang w:val="en-GB"/>
              </w:rPr>
              <w:t>BLK Global Corporate ESG Bond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21F02E"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807FE70"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B8CD7A"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AFA367"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1C7757" w14:textId="77777777" w:rsidR="00D550FF" w:rsidRPr="00D550FF" w:rsidRDefault="00D550FF" w:rsidP="00D550FF">
            <w:r w:rsidRPr="00D550FF">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1B250A" w14:textId="77777777" w:rsidR="00D550FF" w:rsidRPr="00D550FF" w:rsidRDefault="00D550FF" w:rsidP="00D550FF">
            <w:r w:rsidRPr="00D550FF">
              <w:t>7</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68C1B5" w14:textId="77777777" w:rsidR="00D550FF" w:rsidRPr="00D550FF" w:rsidRDefault="00D550FF" w:rsidP="00D550FF">
            <w:r w:rsidRPr="00D550FF">
              <w:rPr>
                <w:b/>
                <w:bCs/>
              </w:rPr>
              <w:t>6.85</w:t>
            </w:r>
          </w:p>
        </w:tc>
      </w:tr>
      <w:tr w:rsidR="00B07164" w:rsidRPr="00D550FF" w14:paraId="09FC0990" w14:textId="77777777" w:rsidTr="00B07164">
        <w:trPr>
          <w:trHeight w:val="1060"/>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AF75AC" w14:textId="77777777" w:rsidR="00D550FF" w:rsidRPr="00D550FF" w:rsidRDefault="00D550FF" w:rsidP="00D550FF">
            <w:r w:rsidRPr="00D550FF">
              <w:rPr>
                <w:b/>
                <w:bCs/>
              </w:rPr>
              <w:t xml:space="preserve">BLK </w:t>
            </w:r>
            <w:proofErr w:type="spellStart"/>
            <w:r w:rsidRPr="00D550FF">
              <w:rPr>
                <w:b/>
                <w:bCs/>
              </w:rPr>
              <w:t>Climate</w:t>
            </w:r>
            <w:proofErr w:type="spellEnd"/>
            <w:r w:rsidRPr="00D550FF">
              <w:rPr>
                <w:b/>
                <w:bCs/>
              </w:rPr>
              <w:t xml:space="preserve"> </w:t>
            </w:r>
            <w:proofErr w:type="spellStart"/>
            <w:r w:rsidRPr="00D550FF">
              <w:rPr>
                <w:b/>
                <w:bCs/>
              </w:rPr>
              <w:t>Transition</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2103D"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75DC50" w14:textId="77777777" w:rsidR="00D550FF" w:rsidRPr="00D550FF" w:rsidRDefault="00D550FF" w:rsidP="00D550FF">
            <w:r w:rsidRPr="00D550FF">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491AF1F" w14:textId="77777777" w:rsidR="00D550FF" w:rsidRPr="00D550FF" w:rsidRDefault="00D550FF" w:rsidP="00D550FF">
            <w:r w:rsidRPr="00D550FF">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F80BBB"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E6EC1B" w14:textId="77777777" w:rsidR="00D550FF" w:rsidRPr="00D550FF" w:rsidRDefault="00D550FF" w:rsidP="00D550FF">
            <w:r w:rsidRPr="00D550FF">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FCCC95" w14:textId="77777777" w:rsidR="00D550FF" w:rsidRPr="00D550FF" w:rsidRDefault="00D550FF" w:rsidP="00D550FF">
            <w:r w:rsidRPr="00D550FF">
              <w:t>7</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4144DF" w14:textId="77777777" w:rsidR="00D550FF" w:rsidRPr="00D550FF" w:rsidRDefault="00D550FF" w:rsidP="00D550FF">
            <w:r w:rsidRPr="00D550FF">
              <w:rPr>
                <w:b/>
                <w:bCs/>
              </w:rPr>
              <w:t>7.10</w:t>
            </w:r>
          </w:p>
        </w:tc>
      </w:tr>
      <w:tr w:rsidR="00B07164" w:rsidRPr="00D550FF" w14:paraId="453D6523" w14:textId="77777777" w:rsidTr="00B07164">
        <w:trPr>
          <w:trHeight w:val="1048"/>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5079808" w14:textId="77777777" w:rsidR="00D550FF" w:rsidRPr="00D550FF" w:rsidRDefault="00D550FF" w:rsidP="00D550FF">
            <w:r w:rsidRPr="00D550FF">
              <w:rPr>
                <w:b/>
                <w:bCs/>
              </w:rPr>
              <w:t xml:space="preserve">BLK </w:t>
            </w:r>
            <w:proofErr w:type="spellStart"/>
            <w:r w:rsidRPr="00D550FF">
              <w:rPr>
                <w:b/>
                <w:bCs/>
              </w:rPr>
              <w:t>Circular</w:t>
            </w:r>
            <w:proofErr w:type="spellEnd"/>
            <w:r w:rsidRPr="00D550FF">
              <w:rPr>
                <w:b/>
                <w:bCs/>
              </w:rPr>
              <w:t xml:space="preserve"> </w:t>
            </w:r>
            <w:proofErr w:type="spellStart"/>
            <w:r w:rsidRPr="00D550FF">
              <w:rPr>
                <w:b/>
                <w:bCs/>
              </w:rPr>
              <w:t>Economy</w:t>
            </w:r>
            <w:proofErr w:type="spellEnd"/>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F601FA8"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5AB4514" w14:textId="77777777" w:rsidR="00D550FF" w:rsidRPr="00D550FF" w:rsidRDefault="00D550FF" w:rsidP="00D550FF">
            <w:r w:rsidRPr="00D550FF">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85C9F5" w14:textId="77777777" w:rsidR="00D550FF" w:rsidRPr="00D550FF" w:rsidRDefault="00D550FF" w:rsidP="00D550FF">
            <w:r w:rsidRPr="00D550FF">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A1B6F6"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F4D7FB" w14:textId="77777777" w:rsidR="00D550FF" w:rsidRPr="00D550FF" w:rsidRDefault="00D550FF" w:rsidP="00D550FF">
            <w:r w:rsidRPr="00D550FF">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70E7F24" w14:textId="77777777" w:rsidR="00D550FF" w:rsidRPr="00D550FF" w:rsidRDefault="00D550FF" w:rsidP="00D550FF">
            <w:r w:rsidRPr="00D550FF">
              <w:t>7</w:t>
            </w:r>
          </w:p>
        </w:tc>
        <w:tc>
          <w:tcPr>
            <w:tcW w:w="61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306270" w14:textId="77777777" w:rsidR="00D550FF" w:rsidRPr="00D550FF" w:rsidRDefault="00D550FF" w:rsidP="00D550FF">
            <w:r w:rsidRPr="00D550FF">
              <w:rPr>
                <w:b/>
                <w:bCs/>
              </w:rPr>
              <w:t>6.55</w:t>
            </w:r>
          </w:p>
        </w:tc>
      </w:tr>
    </w:tbl>
    <w:p w14:paraId="5F5DD2B2" w14:textId="77777777" w:rsidR="00D550FF" w:rsidRPr="00D550FF" w:rsidRDefault="00D550FF" w:rsidP="00D550FF"/>
    <w:p w14:paraId="2D68CE7B" w14:textId="77777777" w:rsidR="00D550FF" w:rsidRDefault="00D550FF" w:rsidP="00D550FF"/>
    <w:p w14:paraId="0F758CF0" w14:textId="77777777" w:rsidR="00B07164" w:rsidRDefault="00B07164" w:rsidP="00D550FF"/>
    <w:p w14:paraId="1360E8D3" w14:textId="77777777" w:rsidR="00B07164" w:rsidRDefault="00B07164" w:rsidP="00D550FF"/>
    <w:p w14:paraId="676564CA" w14:textId="77777777" w:rsidR="00B07164" w:rsidRDefault="00B07164" w:rsidP="00D550FF"/>
    <w:p w14:paraId="08FC5E86" w14:textId="77777777" w:rsidR="00B07164" w:rsidRDefault="00B07164" w:rsidP="00D550FF"/>
    <w:p w14:paraId="575C4D80" w14:textId="77777777" w:rsidR="00B07164" w:rsidRDefault="00B07164" w:rsidP="00D550FF"/>
    <w:p w14:paraId="68F2F91C" w14:textId="77777777" w:rsidR="00B07164" w:rsidRDefault="00B07164" w:rsidP="00D550FF"/>
    <w:p w14:paraId="0833BB2B" w14:textId="77777777" w:rsidR="00B07164" w:rsidRDefault="00B07164" w:rsidP="00D550FF"/>
    <w:p w14:paraId="721E12FF" w14:textId="77777777" w:rsidR="00B07164" w:rsidRPr="00D550FF" w:rsidRDefault="00B07164" w:rsidP="00D550FF"/>
    <w:p w14:paraId="28C61A07" w14:textId="77777777" w:rsidR="00D550FF" w:rsidRPr="00D550FF" w:rsidRDefault="00D550FF" w:rsidP="00D550FF"/>
    <w:p w14:paraId="52E1541C" w14:textId="3FB99A90" w:rsidR="00D550FF" w:rsidRPr="00D550FF" w:rsidRDefault="00B07164" w:rsidP="00B07164">
      <w:pPr>
        <w:pStyle w:val="Heading2"/>
      </w:pPr>
      <w:bookmarkStart w:id="28" w:name="_Toc218449567"/>
      <w:r>
        <w:t xml:space="preserve">7.3 </w:t>
      </w:r>
      <w:r w:rsidR="00D550FF" w:rsidRPr="00D550FF">
        <w:t>Toelichting</w:t>
      </w:r>
      <w:r>
        <w:t xml:space="preserve"> beslissingsmatrix</w:t>
      </w:r>
      <w:bookmarkEnd w:id="28"/>
      <w:r>
        <w:t xml:space="preserve"> </w:t>
      </w:r>
    </w:p>
    <w:p w14:paraId="1473B80E" w14:textId="0FB2D19B" w:rsidR="00D550FF" w:rsidRPr="00D550FF" w:rsidRDefault="001C2028" w:rsidP="00D550FF">
      <w:pPr>
        <w:rPr>
          <w:b/>
          <w:bCs/>
        </w:rPr>
      </w:pPr>
      <w:r>
        <w:rPr>
          <w:b/>
          <w:bCs/>
        </w:rPr>
        <w:br/>
      </w:r>
      <w:r w:rsidR="00D550FF" w:rsidRPr="00D550FF">
        <w:rPr>
          <w:b/>
          <w:bCs/>
        </w:rPr>
        <w:t>BNP Paribas Asset Management</w:t>
      </w:r>
      <w:r>
        <w:rPr>
          <w:b/>
          <w:bCs/>
        </w:rPr>
        <w:br/>
      </w:r>
      <w:r w:rsidR="00D550FF" w:rsidRPr="00D550FF">
        <w:t xml:space="preserve">BNP Paribas legt in zijn fondsdocumenten duidelijk uit hoe de fondsen werken en welke bedrijven worden geselecteerd. Vooral het </w:t>
      </w:r>
      <w:proofErr w:type="spellStart"/>
      <w:r w:rsidR="00D550FF" w:rsidRPr="00D550FF">
        <w:t>Sustainable</w:t>
      </w:r>
      <w:proofErr w:type="spellEnd"/>
      <w:r w:rsidR="00D550FF" w:rsidRPr="00D550FF">
        <w:t xml:space="preserve"> Global </w:t>
      </w:r>
      <w:proofErr w:type="spellStart"/>
      <w:r w:rsidR="00D550FF" w:rsidRPr="00D550FF">
        <w:t>Equity</w:t>
      </w:r>
      <w:proofErr w:type="spellEnd"/>
      <w:r w:rsidR="00D550FF" w:rsidRPr="00D550FF">
        <w:t xml:space="preserve"> Fund en het Energy </w:t>
      </w:r>
      <w:proofErr w:type="spellStart"/>
      <w:r w:rsidR="00D550FF" w:rsidRPr="00D550FF">
        <w:t>Transition</w:t>
      </w:r>
      <w:proofErr w:type="spellEnd"/>
      <w:r w:rsidR="00D550FF" w:rsidRPr="00D550FF">
        <w:t xml:space="preserve"> Fund zijn helder over hun aanpak. Ze leggen bijvoorbeeld uit welke duurzame filters worden gebruikt en waarom bepaalde bedrijven worden uitgesloten. Daarom scoren deze fondsen hoger op “communicatie van de beleggingsstrategie”.</w:t>
      </w:r>
    </w:p>
    <w:p w14:paraId="3668A9F5" w14:textId="77777777" w:rsidR="00D550FF" w:rsidRPr="00D550FF" w:rsidRDefault="00D550FF" w:rsidP="00D550FF">
      <w:r w:rsidRPr="00D550FF">
        <w:t xml:space="preserve">De prestatiecijfers laten zien dat het </w:t>
      </w:r>
      <w:proofErr w:type="spellStart"/>
      <w:r w:rsidRPr="00D550FF">
        <w:t>Sustainable</w:t>
      </w:r>
      <w:proofErr w:type="spellEnd"/>
      <w:r w:rsidRPr="00D550FF">
        <w:t xml:space="preserve"> Global </w:t>
      </w:r>
      <w:proofErr w:type="spellStart"/>
      <w:r w:rsidRPr="00D550FF">
        <w:t>Equity</w:t>
      </w:r>
      <w:proofErr w:type="spellEnd"/>
      <w:r w:rsidRPr="00D550FF">
        <w:t xml:space="preserve"> Fund een stabiel risico-rendementsprofiel heeft. De thematische fondsen, zoals Energy </w:t>
      </w:r>
      <w:proofErr w:type="spellStart"/>
      <w:r w:rsidRPr="00D550FF">
        <w:t>Transition</w:t>
      </w:r>
      <w:proofErr w:type="spellEnd"/>
      <w:r w:rsidRPr="00D550FF">
        <w:t xml:space="preserve"> en Smart Food, hebben meer schommelingen omdat ze zich op specifieke sectoren richten. Het obligatiefonds heeft een lager risico, maar ook een lager verwacht rendement. Dat verklaart waarom het gemiddeld scoort op dit onderdeel. </w:t>
      </w:r>
      <w:sdt>
        <w:sdtPr>
          <w:rPr>
            <w:i/>
            <w:iCs/>
          </w:rPr>
          <w:id w:val="1625419661"/>
          <w:citation/>
        </w:sdtPr>
        <w:sdtContent>
          <w:r w:rsidRPr="00D550FF">
            <w:rPr>
              <w:i/>
              <w:iCs/>
            </w:rPr>
            <w:fldChar w:fldCharType="begin"/>
          </w:r>
          <w:r w:rsidRPr="00D550FF">
            <w:rPr>
              <w:i/>
              <w:iCs/>
            </w:rPr>
            <w:instrText xml:space="preserve"> CITATION Mor \l 1043 </w:instrText>
          </w:r>
          <w:r w:rsidRPr="00D550FF">
            <w:rPr>
              <w:i/>
              <w:iCs/>
            </w:rPr>
            <w:fldChar w:fldCharType="separate"/>
          </w:r>
          <w:r w:rsidRPr="00D550FF">
            <w:rPr>
              <w:i/>
              <w:iCs/>
            </w:rPr>
            <w:t>((Morningstar, 2025), sd)</w:t>
          </w:r>
          <w:r w:rsidRPr="00D550FF">
            <w:rPr>
              <w:lang w:val="en-US"/>
            </w:rPr>
            <w:fldChar w:fldCharType="end"/>
          </w:r>
        </w:sdtContent>
      </w:sdt>
    </w:p>
    <w:p w14:paraId="684CF0AC" w14:textId="77777777" w:rsidR="00D550FF" w:rsidRPr="00D550FF" w:rsidRDefault="00D550FF" w:rsidP="00D550FF">
      <w:r w:rsidRPr="00D550FF">
        <w:t>Bij de kosten valt op dat de wereldwijde fondsen gemiddeld geprijsd zijn. De thematische fondsen zijn duurder vanwege hun specialistische aanpak, wat de lagere score op dit onderdeel verklaart.</w:t>
      </w:r>
    </w:p>
    <w:p w14:paraId="6AB9DA10" w14:textId="77777777" w:rsidR="00D550FF" w:rsidRPr="00D550FF" w:rsidRDefault="00D550FF" w:rsidP="00D550FF">
      <w:r w:rsidRPr="00D550FF">
        <w:t xml:space="preserve">Het belangrijkste onderdeel van de matrix is de aansluiting bij de strategie van ons adviesbureau. Wij vinden duurzaamheid, transparantie en duidelijke keuzes belangrijk. Het Energy </w:t>
      </w:r>
      <w:proofErr w:type="spellStart"/>
      <w:r w:rsidRPr="00D550FF">
        <w:t>Transition</w:t>
      </w:r>
      <w:proofErr w:type="spellEnd"/>
      <w:r w:rsidRPr="00D550FF">
        <w:t xml:space="preserve"> Fund sluit hier erg goed bij aan, omdat het zich volledig richt op de overstap naar duurzame energie. Het </w:t>
      </w:r>
      <w:proofErr w:type="spellStart"/>
      <w:r w:rsidRPr="00D550FF">
        <w:t>Sustainable</w:t>
      </w:r>
      <w:proofErr w:type="spellEnd"/>
      <w:r w:rsidRPr="00D550FF">
        <w:t xml:space="preserve"> Global </w:t>
      </w:r>
      <w:proofErr w:type="spellStart"/>
      <w:r w:rsidRPr="00D550FF">
        <w:t>Equity</w:t>
      </w:r>
      <w:proofErr w:type="spellEnd"/>
      <w:r w:rsidRPr="00D550FF">
        <w:t xml:space="preserve"> Fund past ook goed door zijn brede ESG-strategie en duidelijke uitleg. Deze twee fondsen scoren daardoor het hoogst op dit criterium.</w:t>
      </w:r>
    </w:p>
    <w:p w14:paraId="76EF8102" w14:textId="77777777" w:rsidR="00D550FF" w:rsidRPr="00D550FF" w:rsidRDefault="00D550FF" w:rsidP="00D550FF">
      <w:r w:rsidRPr="00D550FF">
        <w:t>Op het onderdeel klimaatrisico’s scoren de thematische fondsen opnieuw hoger, omdat hun strategie direct gekoppeld is aan klimaatverandering. BNP Paribas geeft daarnaast veel informatie over CO₂-uitstoot en klimaatimpact, wat hun score verhoogt. De klantcommunicatie is bij alle fondsen duidelijk, maar de thematische fondsen bieden meer uitleg en voorbeelden.</w:t>
      </w:r>
    </w:p>
    <w:p w14:paraId="5D352AD4" w14:textId="77777777" w:rsidR="00D550FF" w:rsidRPr="00D550FF" w:rsidRDefault="00D550FF" w:rsidP="00D550FF">
      <w:r w:rsidRPr="00D550FF">
        <w:t xml:space="preserve">Daarom komen voor BNP Paribas vooral het </w:t>
      </w:r>
      <w:proofErr w:type="spellStart"/>
      <w:r w:rsidRPr="00D550FF">
        <w:t>Sustainable</w:t>
      </w:r>
      <w:proofErr w:type="spellEnd"/>
      <w:r w:rsidRPr="00D550FF">
        <w:t xml:space="preserve"> Global </w:t>
      </w:r>
      <w:proofErr w:type="spellStart"/>
      <w:r w:rsidRPr="00D550FF">
        <w:t>Equity</w:t>
      </w:r>
      <w:proofErr w:type="spellEnd"/>
      <w:r w:rsidRPr="00D550FF">
        <w:t xml:space="preserve"> Fund en het Energy </w:t>
      </w:r>
      <w:proofErr w:type="spellStart"/>
      <w:r w:rsidRPr="00D550FF">
        <w:t>Transition</w:t>
      </w:r>
      <w:proofErr w:type="spellEnd"/>
      <w:r w:rsidRPr="00D550FF">
        <w:t xml:space="preserve"> Fund naar voren als de beste keuzes.</w:t>
      </w:r>
    </w:p>
    <w:p w14:paraId="2BC4A7E6" w14:textId="77777777" w:rsidR="001C2028" w:rsidRDefault="001C2028" w:rsidP="00D550FF">
      <w:pPr>
        <w:rPr>
          <w:b/>
          <w:bCs/>
        </w:rPr>
      </w:pPr>
    </w:p>
    <w:p w14:paraId="23ABE6E8" w14:textId="77777777" w:rsidR="001C2028" w:rsidRDefault="001C2028" w:rsidP="00D550FF">
      <w:pPr>
        <w:rPr>
          <w:b/>
          <w:bCs/>
        </w:rPr>
      </w:pPr>
    </w:p>
    <w:p w14:paraId="0BD7B527" w14:textId="77777777" w:rsidR="001C2028" w:rsidRDefault="001C2028" w:rsidP="00D550FF">
      <w:pPr>
        <w:rPr>
          <w:b/>
          <w:bCs/>
        </w:rPr>
      </w:pPr>
    </w:p>
    <w:p w14:paraId="4970E864" w14:textId="77777777" w:rsidR="001C2028" w:rsidRDefault="001C2028" w:rsidP="00D550FF">
      <w:pPr>
        <w:rPr>
          <w:b/>
          <w:bCs/>
        </w:rPr>
      </w:pPr>
    </w:p>
    <w:p w14:paraId="30C5C19C" w14:textId="77777777" w:rsidR="001C2028" w:rsidRDefault="001C2028" w:rsidP="00D550FF">
      <w:pPr>
        <w:rPr>
          <w:b/>
          <w:bCs/>
        </w:rPr>
      </w:pPr>
    </w:p>
    <w:p w14:paraId="5E69054C" w14:textId="0B901016" w:rsidR="00D550FF" w:rsidRPr="00D550FF" w:rsidRDefault="00D550FF" w:rsidP="00D550FF">
      <w:proofErr w:type="spellStart"/>
      <w:r w:rsidRPr="00D550FF">
        <w:rPr>
          <w:b/>
          <w:bCs/>
        </w:rPr>
        <w:t>BlackRock</w:t>
      </w:r>
      <w:proofErr w:type="spellEnd"/>
      <w:r w:rsidR="001C2028" w:rsidRPr="001C2028">
        <w:rPr>
          <w:b/>
          <w:bCs/>
        </w:rPr>
        <w:br/>
      </w:r>
      <w:r w:rsidRPr="00D550FF">
        <w:t xml:space="preserve">Bij </w:t>
      </w:r>
      <w:proofErr w:type="spellStart"/>
      <w:r w:rsidRPr="00D550FF">
        <w:t>BlackRock</w:t>
      </w:r>
      <w:proofErr w:type="spellEnd"/>
      <w:r w:rsidRPr="00D550FF">
        <w:t xml:space="preserve"> is de uitleg in de fondsdocumentatie overzichtelijk en duidelijk, maar minder uitgebreid dan bij BNP Paribas. Het </w:t>
      </w:r>
      <w:proofErr w:type="spellStart"/>
      <w:r w:rsidRPr="00D550FF">
        <w:t>Climate</w:t>
      </w:r>
      <w:proofErr w:type="spellEnd"/>
      <w:r w:rsidRPr="00D550FF">
        <w:t xml:space="preserve"> </w:t>
      </w:r>
      <w:proofErr w:type="spellStart"/>
      <w:r w:rsidRPr="00D550FF">
        <w:t>Transition</w:t>
      </w:r>
      <w:proofErr w:type="spellEnd"/>
      <w:r w:rsidRPr="00D550FF">
        <w:t xml:space="preserve"> Fund is hierop een uitzondering, omdat dit fonds heel concreet uitlegt hoe het inspeelt op klimaatverandering. Daardoor scoort dit fonds het hoogst op “communicatie van de beleggingsstrategie”.</w:t>
      </w:r>
    </w:p>
    <w:p w14:paraId="7DFD2992" w14:textId="77777777" w:rsidR="00D550FF" w:rsidRPr="00D550FF" w:rsidRDefault="00D550FF" w:rsidP="00D550FF">
      <w:r w:rsidRPr="00D550FF">
        <w:t xml:space="preserve">Als we kijken naar risico en rendement, dan valt op dat het Global </w:t>
      </w:r>
      <w:proofErr w:type="spellStart"/>
      <w:r w:rsidRPr="00D550FF">
        <w:t>Equity</w:t>
      </w:r>
      <w:proofErr w:type="spellEnd"/>
      <w:r w:rsidRPr="00D550FF">
        <w:t xml:space="preserve"> ESG Fund stabiel presteert. Het obligatiefonds is voorspelbaar, maar niet bijzonder sterk in rendement. De thematische fondsen hebben meer risico, net als bij BNP Paribas, omdat ze zich op één thema richten.</w:t>
      </w:r>
    </w:p>
    <w:p w14:paraId="0B8E8897" w14:textId="11E2136F" w:rsidR="00D550FF" w:rsidRPr="00D550FF" w:rsidRDefault="00D550FF" w:rsidP="00D550FF">
      <w:proofErr w:type="spellStart"/>
      <w:r w:rsidRPr="00D550FF">
        <w:t>BlackRock</w:t>
      </w:r>
      <w:proofErr w:type="spellEnd"/>
      <w:r w:rsidRPr="00D550FF">
        <w:t xml:space="preserve"> staat bekend om relatief lage kosten, vooral bij de brede fondsen. Daarom scoren het Global </w:t>
      </w:r>
      <w:proofErr w:type="spellStart"/>
      <w:r w:rsidRPr="00D550FF">
        <w:t>Equity</w:t>
      </w:r>
      <w:proofErr w:type="spellEnd"/>
      <w:r w:rsidRPr="00D550FF">
        <w:t xml:space="preserve"> ESG Fund en het Corporate ESG Bond Fund goed op kosten. De thematische fondsen zijn duurder en scoren daardoor lager.</w:t>
      </w:r>
    </w:p>
    <w:p w14:paraId="761AC552" w14:textId="77777777" w:rsidR="00D550FF" w:rsidRPr="00D550FF" w:rsidRDefault="00D550FF" w:rsidP="00D550FF">
      <w:r w:rsidRPr="00D550FF">
        <w:t xml:space="preserve">Als we kijken naar de aansluiting bij onze strategie, zien we dat het </w:t>
      </w:r>
      <w:proofErr w:type="spellStart"/>
      <w:r w:rsidRPr="00D550FF">
        <w:t>Climate</w:t>
      </w:r>
      <w:proofErr w:type="spellEnd"/>
      <w:r w:rsidRPr="00D550FF">
        <w:t xml:space="preserve"> </w:t>
      </w:r>
      <w:proofErr w:type="spellStart"/>
      <w:r w:rsidRPr="00D550FF">
        <w:t>Transition</w:t>
      </w:r>
      <w:proofErr w:type="spellEnd"/>
      <w:r w:rsidRPr="00D550FF">
        <w:t xml:space="preserve"> Fund erg goed past. Het fonds heeft een duidelijke duurzaamheidsvisie en richt zich op bedrijven die voordelen hebben van de overgang naar een duurzame economie. Het Global </w:t>
      </w:r>
      <w:proofErr w:type="spellStart"/>
      <w:r w:rsidRPr="00D550FF">
        <w:t>Equity</w:t>
      </w:r>
      <w:proofErr w:type="spellEnd"/>
      <w:r w:rsidRPr="00D550FF">
        <w:t xml:space="preserve"> ESG Fund sluit ook goed aan door zijn brede ESG-aanpak en wereldwijde spreiding.</w:t>
      </w:r>
    </w:p>
    <w:p w14:paraId="7C10CB07" w14:textId="77777777" w:rsidR="00D550FF" w:rsidRPr="00D550FF" w:rsidRDefault="00D550FF" w:rsidP="00D550FF">
      <w:pPr>
        <w:rPr>
          <w:i/>
          <w:iCs/>
          <w:lang w:val="en-GB"/>
        </w:rPr>
      </w:pPr>
      <w:r w:rsidRPr="00D550FF">
        <w:t xml:space="preserve">Bij klimaatrisico’s scoort het </w:t>
      </w:r>
      <w:proofErr w:type="spellStart"/>
      <w:r w:rsidRPr="00D550FF">
        <w:t>Climate</w:t>
      </w:r>
      <w:proofErr w:type="spellEnd"/>
      <w:r w:rsidRPr="00D550FF">
        <w:t xml:space="preserve"> </w:t>
      </w:r>
      <w:proofErr w:type="spellStart"/>
      <w:r w:rsidRPr="00D550FF">
        <w:t>Transition</w:t>
      </w:r>
      <w:proofErr w:type="spellEnd"/>
      <w:r w:rsidRPr="00D550FF">
        <w:t xml:space="preserve"> Fund het hoogst. Dit komt doordat klimaat centraal staat in de strategie en omdat het fonds duidelijke informatie geeft over klimaatimpact. De klantcommunicatie bij </w:t>
      </w:r>
      <w:proofErr w:type="spellStart"/>
      <w:r w:rsidRPr="00D550FF">
        <w:t>BlackRock</w:t>
      </w:r>
      <w:proofErr w:type="spellEnd"/>
      <w:r w:rsidRPr="00D550FF">
        <w:t xml:space="preserve"> is helder en gestructureerd, maar vaak minder uitgebreid dan bij BNP Paribas. </w:t>
      </w:r>
      <w:sdt>
        <w:sdtPr>
          <w:rPr>
            <w:i/>
            <w:iCs/>
          </w:rPr>
          <w:id w:val="2127196406"/>
          <w:citation/>
        </w:sdtPr>
        <w:sdtContent>
          <w:r w:rsidRPr="00D550FF">
            <w:rPr>
              <w:i/>
              <w:iCs/>
            </w:rPr>
            <w:fldChar w:fldCharType="begin"/>
          </w:r>
          <w:r w:rsidRPr="00D550FF">
            <w:rPr>
              <w:i/>
              <w:iCs/>
            </w:rPr>
            <w:instrText xml:space="preserve"> CITATION BGF \l 1043 </w:instrText>
          </w:r>
          <w:r w:rsidRPr="00D550FF">
            <w:rPr>
              <w:i/>
              <w:iCs/>
            </w:rPr>
            <w:fldChar w:fldCharType="separate"/>
          </w:r>
          <w:r w:rsidRPr="00D550FF">
            <w:rPr>
              <w:i/>
              <w:iCs/>
              <w:lang w:val="en-GB"/>
            </w:rPr>
            <w:t>((BGF Climate Transition Multi-Asset Fund | Class A2, z.d.), sd)</w:t>
          </w:r>
          <w:r w:rsidRPr="00D550FF">
            <w:rPr>
              <w:lang w:val="en-US"/>
            </w:rPr>
            <w:fldChar w:fldCharType="end"/>
          </w:r>
        </w:sdtContent>
      </w:sdt>
    </w:p>
    <w:p w14:paraId="2B49CFA5" w14:textId="77777777" w:rsidR="00D550FF" w:rsidRPr="00D550FF" w:rsidRDefault="00D550FF" w:rsidP="00D550FF">
      <w:r w:rsidRPr="00D550FF">
        <w:t xml:space="preserve">Daarom komen voor </w:t>
      </w:r>
      <w:proofErr w:type="spellStart"/>
      <w:r w:rsidRPr="00D550FF">
        <w:t>BlackRock</w:t>
      </w:r>
      <w:proofErr w:type="spellEnd"/>
      <w:r w:rsidRPr="00D550FF">
        <w:t xml:space="preserve"> vooral het </w:t>
      </w:r>
      <w:proofErr w:type="spellStart"/>
      <w:r w:rsidRPr="00D550FF">
        <w:t>Climate</w:t>
      </w:r>
      <w:proofErr w:type="spellEnd"/>
      <w:r w:rsidRPr="00D550FF">
        <w:t xml:space="preserve"> </w:t>
      </w:r>
      <w:proofErr w:type="spellStart"/>
      <w:r w:rsidRPr="00D550FF">
        <w:t>Transition</w:t>
      </w:r>
      <w:proofErr w:type="spellEnd"/>
      <w:r w:rsidRPr="00D550FF">
        <w:t xml:space="preserve"> Fund en het Global </w:t>
      </w:r>
      <w:proofErr w:type="spellStart"/>
      <w:r w:rsidRPr="00D550FF">
        <w:t>Equity</w:t>
      </w:r>
      <w:proofErr w:type="spellEnd"/>
      <w:r w:rsidRPr="00D550FF">
        <w:t xml:space="preserve"> ESG Fund als beste opties naar voren.</w:t>
      </w:r>
    </w:p>
    <w:p w14:paraId="49AFA969" w14:textId="77777777" w:rsidR="00D550FF" w:rsidRDefault="00D550FF" w:rsidP="00D550FF"/>
    <w:p w14:paraId="7282CD67" w14:textId="77777777" w:rsidR="001C2028" w:rsidRDefault="001C2028" w:rsidP="00D550FF"/>
    <w:p w14:paraId="1ADC437A" w14:textId="77777777" w:rsidR="001C2028" w:rsidRDefault="001C2028" w:rsidP="00D550FF"/>
    <w:p w14:paraId="44351E52" w14:textId="77777777" w:rsidR="001C2028" w:rsidRDefault="001C2028" w:rsidP="00D550FF"/>
    <w:p w14:paraId="52D23400" w14:textId="77777777" w:rsidR="001C2028" w:rsidRDefault="001C2028" w:rsidP="00D550FF"/>
    <w:p w14:paraId="5A295687" w14:textId="77777777" w:rsidR="001C2028" w:rsidRDefault="001C2028" w:rsidP="00D550FF"/>
    <w:p w14:paraId="58B5D2EB" w14:textId="77777777" w:rsidR="001C2028" w:rsidRDefault="001C2028" w:rsidP="00D550FF"/>
    <w:p w14:paraId="3091E4A2" w14:textId="77777777" w:rsidR="001C2028" w:rsidRPr="00D550FF" w:rsidRDefault="001C2028" w:rsidP="00D550FF"/>
    <w:p w14:paraId="7302EB05" w14:textId="77777777" w:rsidR="00D550FF" w:rsidRPr="00D550FF" w:rsidRDefault="00D550FF" w:rsidP="00D550FF"/>
    <w:p w14:paraId="51FF22C4" w14:textId="394CC7DA" w:rsidR="00D550FF" w:rsidRPr="00CA1A30" w:rsidRDefault="001C2028" w:rsidP="001C2028">
      <w:pPr>
        <w:pStyle w:val="Heading2"/>
      </w:pPr>
      <w:bookmarkStart w:id="29" w:name="_Toc218449568"/>
      <w:r>
        <w:rPr>
          <w:lang w:val="en-GB"/>
        </w:rPr>
        <w:t xml:space="preserve">7.4 </w:t>
      </w:r>
      <w:r w:rsidR="00D550FF" w:rsidRPr="00CA1A30">
        <w:t>Vergelijking obligatiefondsen</w:t>
      </w:r>
      <w:bookmarkEnd w:id="29"/>
    </w:p>
    <w:p w14:paraId="43E58E19" w14:textId="77777777" w:rsidR="00D550FF" w:rsidRPr="00D550FF" w:rsidRDefault="00D550FF" w:rsidP="00D550FF">
      <w:pPr>
        <w:rPr>
          <w:lang w:val="en-GB"/>
        </w:rPr>
      </w:pPr>
    </w:p>
    <w:p w14:paraId="58892734" w14:textId="77777777" w:rsidR="00D550FF" w:rsidRPr="00D550FF" w:rsidRDefault="00D550FF" w:rsidP="00D550FF">
      <w:pPr>
        <w:rPr>
          <w:b/>
          <w:bCs/>
          <w:lang w:val="en-GB"/>
        </w:rPr>
      </w:pPr>
      <w:r w:rsidRPr="00D550FF">
        <w:rPr>
          <w:b/>
          <w:bCs/>
          <w:lang w:val="en-GB"/>
        </w:rPr>
        <w:t>BNP Paribas Global Sustainable Bond Fund</w:t>
      </w:r>
    </w:p>
    <w:p w14:paraId="20B1D2BB" w14:textId="77777777" w:rsidR="00D550FF" w:rsidRPr="00D550FF" w:rsidRDefault="00D550FF" w:rsidP="00D550FF">
      <w:pPr>
        <w:rPr>
          <w:b/>
          <w:bCs/>
          <w:lang w:val="en-GB"/>
        </w:rPr>
      </w:pPr>
      <w:r w:rsidRPr="00D550FF">
        <w:rPr>
          <w:b/>
          <w:bCs/>
          <w:lang w:val="en-GB"/>
        </w:rPr>
        <w:t>vs.</w:t>
      </w:r>
    </w:p>
    <w:p w14:paraId="60EE056E" w14:textId="77777777" w:rsidR="00D550FF" w:rsidRPr="00D550FF" w:rsidRDefault="00D550FF" w:rsidP="00D550FF">
      <w:pPr>
        <w:rPr>
          <w:b/>
          <w:bCs/>
          <w:lang w:val="en-GB"/>
        </w:rPr>
      </w:pPr>
      <w:r w:rsidRPr="00D550FF">
        <w:rPr>
          <w:b/>
          <w:bCs/>
          <w:lang w:val="en-GB"/>
        </w:rPr>
        <w:t>BlackRock Global Corporate ESG Bond Fund</w:t>
      </w:r>
    </w:p>
    <w:p w14:paraId="26534154" w14:textId="77777777" w:rsidR="00D550FF" w:rsidRPr="00D550FF" w:rsidRDefault="00D550FF" w:rsidP="00D550FF">
      <w:pPr>
        <w:rPr>
          <w:lang w:val="en-GB"/>
        </w:rPr>
      </w:pPr>
    </w:p>
    <w:p w14:paraId="62FDEA5D" w14:textId="77777777" w:rsidR="00D550FF" w:rsidRPr="00D550FF" w:rsidRDefault="00D550FF" w:rsidP="00D550FF">
      <w:r w:rsidRPr="00D550FF">
        <w:t xml:space="preserve">In deze vergelijking worden twee wereldwijde duurzaamheidsgerichte obligatiefondsen naast elkaar gezet. Het doel is om te bepalen welk fonds het beste aansluit bij de strategie van ons adviesbureau. De beoordeling is uitgevoerd op basis van de zes verplichte criteria: communicatie van de beleggingsstrategie, risico-rendementsverhouding, kosten, aansluiting bij de strategie van </w:t>
      </w:r>
      <w:proofErr w:type="spellStart"/>
      <w:r w:rsidRPr="00D550FF">
        <w:t>Vermogenthuis</w:t>
      </w:r>
      <w:proofErr w:type="spellEnd"/>
      <w:r w:rsidRPr="00D550FF">
        <w:t>, klimaatrisico’s en klantcommunicatie.</w:t>
      </w:r>
    </w:p>
    <w:p w14:paraId="4214CA20" w14:textId="77777777" w:rsidR="00D550FF" w:rsidRPr="00D550FF" w:rsidRDefault="00D550FF" w:rsidP="00D550FF"/>
    <w:p w14:paraId="329B0D62" w14:textId="77777777" w:rsidR="00D550FF" w:rsidRPr="00D550FF" w:rsidRDefault="00D550FF" w:rsidP="00D550FF">
      <w:pPr>
        <w:rPr>
          <w:b/>
          <w:bCs/>
        </w:rPr>
      </w:pPr>
      <w:r w:rsidRPr="00D550FF">
        <w:rPr>
          <w:b/>
          <w:bCs/>
        </w:rPr>
        <w:t>1. Communicatie van de beleggingsstrategie</w:t>
      </w:r>
    </w:p>
    <w:p w14:paraId="015D47B1" w14:textId="77777777" w:rsidR="00D550FF" w:rsidRPr="00D550FF" w:rsidRDefault="00D550FF" w:rsidP="00D550FF">
      <w:r w:rsidRPr="00D550FF">
        <w:t xml:space="preserve">Beide fondsen leggen hun werkwijze duidelijk uit, maar BNP Paribas scoort iets hoger. Dit komt vooral doordat hun documentatie concreter en uitgebreider is. BNP beschrijft inzichtelijk hoe obligaties worden geselecteerd, welke duurzaamheidsfilters worden gebruikt en hoe risico’s worden beoordeeld. Zij geven ook voorbeelden van sectoren die worden uitgesloten en leggen op een begrijpelijke manier uit hoe het fonds omgaat met landen- en kredietrisico. </w:t>
      </w:r>
      <w:sdt>
        <w:sdtPr>
          <w:id w:val="2129652663"/>
          <w:citation/>
        </w:sdtPr>
        <w:sdtContent>
          <w:r w:rsidRPr="00D550FF">
            <w:fldChar w:fldCharType="begin"/>
          </w:r>
          <w:r w:rsidRPr="00D550FF">
            <w:instrText xml:space="preserve"> CITATION Bel \l 1043 </w:instrText>
          </w:r>
          <w:r w:rsidRPr="00D550FF">
            <w:fldChar w:fldCharType="separate"/>
          </w:r>
          <w:r w:rsidRPr="00D550FF">
            <w:t>(Beleggen BNP, sd)</w:t>
          </w:r>
          <w:r w:rsidRPr="00D550FF">
            <w:rPr>
              <w:lang w:val="en-US"/>
            </w:rPr>
            <w:fldChar w:fldCharType="end"/>
          </w:r>
        </w:sdtContent>
      </w:sdt>
    </w:p>
    <w:p w14:paraId="7293F1AB" w14:textId="77777777" w:rsidR="00D550FF" w:rsidRPr="00D550FF" w:rsidRDefault="00D550FF" w:rsidP="00D550FF">
      <w:proofErr w:type="spellStart"/>
      <w:r w:rsidRPr="00D550FF">
        <w:t>BlackRock</w:t>
      </w:r>
      <w:proofErr w:type="spellEnd"/>
      <w:r w:rsidRPr="00D550FF">
        <w:t xml:space="preserve"> communiceert de strategie helder, maar vaak wat beknopter. De uitleg richt zich meer op het algemene proces dan op specifieke keuzes. Daardoor is het voor klanten iets minder duidelijk welke bedrijven wel of niet worden opgenomen en waarom. BNP krijgt daarom een hogere score op dit criterium.</w:t>
      </w:r>
    </w:p>
    <w:p w14:paraId="30AB18F2" w14:textId="77777777" w:rsidR="00D550FF" w:rsidRDefault="00D550FF" w:rsidP="00D550FF"/>
    <w:p w14:paraId="1FAA0F2C" w14:textId="77777777" w:rsidR="001C2028" w:rsidRDefault="001C2028" w:rsidP="00D550FF"/>
    <w:p w14:paraId="6A319726" w14:textId="77777777" w:rsidR="001C2028" w:rsidRDefault="001C2028" w:rsidP="00D550FF"/>
    <w:p w14:paraId="591C6C08" w14:textId="77777777" w:rsidR="001C2028" w:rsidRDefault="001C2028" w:rsidP="00D550FF"/>
    <w:p w14:paraId="102C0A1E" w14:textId="77777777" w:rsidR="001C2028" w:rsidRDefault="001C2028" w:rsidP="00D550FF"/>
    <w:p w14:paraId="29B398F0" w14:textId="77777777" w:rsidR="001C2028" w:rsidRDefault="001C2028" w:rsidP="00D550FF"/>
    <w:p w14:paraId="741370DD" w14:textId="77777777" w:rsidR="001C2028" w:rsidRDefault="001C2028" w:rsidP="00D550FF"/>
    <w:p w14:paraId="5FC04929" w14:textId="77777777" w:rsidR="001C2028" w:rsidRPr="00D550FF" w:rsidRDefault="001C2028" w:rsidP="00D550FF"/>
    <w:p w14:paraId="338B73BD" w14:textId="5D3321FF" w:rsidR="00D550FF" w:rsidRPr="00D550FF" w:rsidRDefault="00D550FF" w:rsidP="00D550FF">
      <w:pPr>
        <w:rPr>
          <w:b/>
          <w:bCs/>
        </w:rPr>
      </w:pPr>
      <w:r w:rsidRPr="00D550FF">
        <w:rPr>
          <w:b/>
          <w:bCs/>
        </w:rPr>
        <w:t>2. Historische risico-rendementsverhouding</w:t>
      </w:r>
    </w:p>
    <w:p w14:paraId="07E3DC20" w14:textId="77777777" w:rsidR="00D550FF" w:rsidRPr="00D550FF" w:rsidRDefault="00D550FF" w:rsidP="00D550FF">
      <w:r w:rsidRPr="00D550FF">
        <w:t>Obligatiefondsen hebben over het algemeen een lager risico dan aandelenfondsen. Toch bestaan er verschillen tussen deze twee fondsen. Het BNP-fonds laat een stabieler beeld zien. De volatiliteit is laag en de jaarlijkse rendementen schommelen minder sterk. Dit komt doordat het fonds belegt in een mix van staatsobligaties en bedrijfsobligaties met een relatief hoge kredietkwaliteit.</w:t>
      </w:r>
    </w:p>
    <w:p w14:paraId="4B806F85" w14:textId="77777777" w:rsidR="00D550FF" w:rsidRPr="00D550FF" w:rsidRDefault="00D550FF" w:rsidP="00D550FF">
      <w:r w:rsidRPr="00D550FF">
        <w:t xml:space="preserve">Het </w:t>
      </w:r>
      <w:proofErr w:type="spellStart"/>
      <w:r w:rsidRPr="00D550FF">
        <w:t>BlackRock</w:t>
      </w:r>
      <w:proofErr w:type="spellEnd"/>
      <w:r w:rsidRPr="00D550FF">
        <w:t>-fonds belegt vooral in bedrijfsobligaties. Deze categorie is gevoeliger voor economische omstandigheden en renteveranderingen. Daardoor heeft het fonds in sommige jaren sterke pieken, maar ook dalingen. Het gemiddelde rendement is vergelijkbaar met dat van BNP, maar het risico ligt hoger. Daarom scoort BNP beter op dit criterium.</w:t>
      </w:r>
    </w:p>
    <w:p w14:paraId="19432E7D" w14:textId="77777777" w:rsidR="00D550FF" w:rsidRPr="00D550FF" w:rsidRDefault="00D550FF" w:rsidP="00D550FF"/>
    <w:p w14:paraId="415B3DD6" w14:textId="77777777" w:rsidR="00D550FF" w:rsidRPr="00D550FF" w:rsidRDefault="00D550FF" w:rsidP="00D550FF">
      <w:pPr>
        <w:rPr>
          <w:b/>
          <w:bCs/>
        </w:rPr>
      </w:pPr>
      <w:r w:rsidRPr="00D550FF">
        <w:rPr>
          <w:b/>
          <w:bCs/>
        </w:rPr>
        <w:t>3. Kosten</w:t>
      </w:r>
    </w:p>
    <w:p w14:paraId="64601F12" w14:textId="77777777" w:rsidR="00D550FF" w:rsidRPr="00D550FF" w:rsidRDefault="00D550FF" w:rsidP="00D550FF">
      <w:r w:rsidRPr="00D550FF">
        <w:t xml:space="preserve">De kosten spelen een belangrijke rol bij obligatiefondsen, omdat het verwachte rendement lager ligt dan bij aandelenfondsen. </w:t>
      </w:r>
      <w:proofErr w:type="spellStart"/>
      <w:r w:rsidRPr="00D550FF">
        <w:t>BlackRock</w:t>
      </w:r>
      <w:proofErr w:type="spellEnd"/>
      <w:r w:rsidRPr="00D550FF">
        <w:t xml:space="preserve"> staat bekend om relatief lage kosten, vooral bij brede fondsen en </w:t>
      </w:r>
      <w:proofErr w:type="spellStart"/>
      <w:r w:rsidRPr="00D550FF">
        <w:t>ETF’s</w:t>
      </w:r>
      <w:proofErr w:type="spellEnd"/>
      <w:r w:rsidRPr="00D550FF">
        <w:t>. Het Global Corporate ESG Bond Fund is dan ook scherp geprijsd.</w:t>
      </w:r>
    </w:p>
    <w:p w14:paraId="5694D7B2" w14:textId="77777777" w:rsidR="00D550FF" w:rsidRPr="00D550FF" w:rsidRDefault="00D550FF" w:rsidP="00D550FF">
      <w:r w:rsidRPr="00D550FF">
        <w:t xml:space="preserve">BNP Paribas vraagt iets hogere kosten. Dit komt onder andere door de meer uitgebreide ESG-analyses en het bredere universum aan obligaties waarin zij beleggen. Hoewel het verschil niet extreem groot is, scoort </w:t>
      </w:r>
      <w:proofErr w:type="spellStart"/>
      <w:r w:rsidRPr="00D550FF">
        <w:t>BlackRock</w:t>
      </w:r>
      <w:proofErr w:type="spellEnd"/>
      <w:r w:rsidRPr="00D550FF">
        <w:t xml:space="preserve"> hierdoor beter op het kostencriterium.</w:t>
      </w:r>
    </w:p>
    <w:p w14:paraId="27239F8F" w14:textId="77777777" w:rsidR="00D550FF" w:rsidRPr="00D550FF" w:rsidRDefault="00D550FF" w:rsidP="00D550FF"/>
    <w:p w14:paraId="1CACE6E6" w14:textId="77777777" w:rsidR="00D550FF" w:rsidRPr="00D550FF" w:rsidRDefault="00D550FF" w:rsidP="00D550FF">
      <w:pPr>
        <w:rPr>
          <w:b/>
          <w:bCs/>
        </w:rPr>
      </w:pPr>
      <w:r w:rsidRPr="00D550FF">
        <w:rPr>
          <w:b/>
          <w:bCs/>
        </w:rPr>
        <w:t xml:space="preserve">4. Aansluiting bij de strategie van </w:t>
      </w:r>
      <w:proofErr w:type="spellStart"/>
      <w:r w:rsidRPr="00D550FF">
        <w:rPr>
          <w:b/>
          <w:bCs/>
        </w:rPr>
        <w:t>Vermogenthuis</w:t>
      </w:r>
      <w:proofErr w:type="spellEnd"/>
    </w:p>
    <w:p w14:paraId="3022D701" w14:textId="77777777" w:rsidR="00D550FF" w:rsidRPr="00D550FF" w:rsidRDefault="00D550FF" w:rsidP="00D550FF">
      <w:r w:rsidRPr="00D550FF">
        <w:t>Dit criterium weegt het zwaarst. Ons adviesbureau richt zich op duurzaam, verantwoord en transparant beleggen. Ook vinden wij het belangrijk dat fondsen duidelijke uitsluitingscriteria hebben, ESG-strategieën toepassen en concreet rapporteren over hun impact.</w:t>
      </w:r>
    </w:p>
    <w:p w14:paraId="439F05D9" w14:textId="77777777" w:rsidR="00D550FF" w:rsidRPr="00D550FF" w:rsidRDefault="00D550FF" w:rsidP="00D550FF">
      <w:r w:rsidRPr="00D550FF">
        <w:t>Beide fondsen scoren goed op dit vlak, maar BNP Paribas sluit het beste aan. Hun duurzaamheidsbeleid is strikter, zij hanteren duidelijke uitsluitingen en leggen helder uit hoe zij ESG-analyses integreren in de selectie van obligaties. Het fonds investeert bovendien in meerdere duurzame thema’s, zoals klimaat, sociale ontwikkelingen en goed bestuur.</w:t>
      </w:r>
    </w:p>
    <w:p w14:paraId="46B0306C" w14:textId="77777777" w:rsidR="00D550FF" w:rsidRPr="00D550FF" w:rsidRDefault="00D550FF" w:rsidP="00D550FF">
      <w:proofErr w:type="spellStart"/>
      <w:r w:rsidRPr="00D550FF">
        <w:t>BlackRock</w:t>
      </w:r>
      <w:proofErr w:type="spellEnd"/>
      <w:r w:rsidRPr="00D550FF">
        <w:t xml:space="preserve"> past ESG ook toe, maar vaak op een iets hoger niveau. De duurzaamheidsfilters zijn minder streng en het engagementbeleid is minder uitgebreid dan dat van BNP Paribas. Hierdoor past BNP beter bij de waarden van </w:t>
      </w:r>
      <w:proofErr w:type="spellStart"/>
      <w:r w:rsidRPr="00D550FF">
        <w:t>Vermogenthuis</w:t>
      </w:r>
      <w:proofErr w:type="spellEnd"/>
      <w:r w:rsidRPr="00D550FF">
        <w:t>.</w:t>
      </w:r>
    </w:p>
    <w:p w14:paraId="703E69DC" w14:textId="77777777" w:rsidR="00D550FF" w:rsidRPr="00D550FF" w:rsidRDefault="00D550FF" w:rsidP="00D550FF"/>
    <w:p w14:paraId="257019D4" w14:textId="77777777" w:rsidR="00D550FF" w:rsidRPr="00D550FF" w:rsidRDefault="00D550FF" w:rsidP="00D550FF">
      <w:pPr>
        <w:rPr>
          <w:b/>
          <w:bCs/>
        </w:rPr>
      </w:pPr>
      <w:r w:rsidRPr="00D550FF">
        <w:rPr>
          <w:b/>
          <w:bCs/>
        </w:rPr>
        <w:t>5. Klimaatrisico’s</w:t>
      </w:r>
    </w:p>
    <w:p w14:paraId="589BAC10" w14:textId="77777777" w:rsidR="00D550FF" w:rsidRPr="00D550FF" w:rsidRDefault="00D550FF" w:rsidP="00D550FF">
      <w:r w:rsidRPr="00D550FF">
        <w:t>BNP Paribas geeft uitgebreidere informatie over klimaatrisico’s. Zij maken inzichtelijk hoe zij CO₂-intensiteit meten, hoe zij transitie- en fysieke risico’s beoordelen en hoe bedrijven worden aangesproken op hun klimaatbeleid. Klimaat speelt een duidelijke rol in de selectie van obligaties.</w:t>
      </w:r>
    </w:p>
    <w:p w14:paraId="6724B7AE" w14:textId="77777777" w:rsidR="00D550FF" w:rsidRPr="00D550FF" w:rsidRDefault="00D550FF" w:rsidP="00D550FF">
      <w:proofErr w:type="spellStart"/>
      <w:r w:rsidRPr="00D550FF">
        <w:t>BlackRock</w:t>
      </w:r>
      <w:proofErr w:type="spellEnd"/>
      <w:r w:rsidRPr="00D550FF">
        <w:t xml:space="preserve"> geeft ook informatie over klimaatrisico’s, maar minder gedetailleerd. De informatie is vooral gericht op algemene risico’s en minder op concrete CO₂-indicatoren. Daardoor krijgt BNP een hogere score op dit onderdeel.</w:t>
      </w:r>
    </w:p>
    <w:p w14:paraId="06A76E33" w14:textId="77777777" w:rsidR="00D550FF" w:rsidRPr="00D550FF" w:rsidRDefault="00D550FF" w:rsidP="00D550FF"/>
    <w:p w14:paraId="603B41CA" w14:textId="77777777" w:rsidR="00D550FF" w:rsidRPr="00D550FF" w:rsidRDefault="00D550FF" w:rsidP="00D550FF">
      <w:pPr>
        <w:rPr>
          <w:b/>
          <w:bCs/>
        </w:rPr>
      </w:pPr>
      <w:r w:rsidRPr="00D550FF">
        <w:rPr>
          <w:b/>
          <w:bCs/>
        </w:rPr>
        <w:t>6. Klantcommunicatie</w:t>
      </w:r>
    </w:p>
    <w:p w14:paraId="5C57C31D" w14:textId="77777777" w:rsidR="00D550FF" w:rsidRPr="00D550FF" w:rsidRDefault="00D550FF" w:rsidP="00D550FF">
      <w:r w:rsidRPr="00D550FF">
        <w:t xml:space="preserve">Beide fondsen communiceren duidelijk richting klanten, maar BNP doet dit iets uitgebreider. De fondsrapporten van BNP bevatten meer voorbeelden, meer uitleg en meer toelichting over duurzame keuzes. </w:t>
      </w:r>
      <w:proofErr w:type="spellStart"/>
      <w:r w:rsidRPr="00D550FF">
        <w:t>BlackRock</w:t>
      </w:r>
      <w:proofErr w:type="spellEnd"/>
      <w:r w:rsidRPr="00D550FF">
        <w:t xml:space="preserve"> is overzichtelijk, maar korter en soms technischer geformuleerd.</w:t>
      </w:r>
    </w:p>
    <w:p w14:paraId="2DE51C7B" w14:textId="77777777" w:rsidR="00D550FF" w:rsidRPr="00D550FF" w:rsidRDefault="00D550FF" w:rsidP="00D550FF">
      <w:r w:rsidRPr="00D550FF">
        <w:t xml:space="preserve">Omdat </w:t>
      </w:r>
      <w:proofErr w:type="spellStart"/>
      <w:r w:rsidRPr="00D550FF">
        <w:t>Vermogenthuis</w:t>
      </w:r>
      <w:proofErr w:type="spellEnd"/>
      <w:r w:rsidRPr="00D550FF">
        <w:t xml:space="preserve"> waarde hecht aan begrijpelijke, toegankelijke communicatie, scoort BNP hoger op dit criterium.</w:t>
      </w:r>
    </w:p>
    <w:p w14:paraId="49827892" w14:textId="77777777" w:rsidR="00D550FF" w:rsidRPr="00D550FF" w:rsidRDefault="00D550FF" w:rsidP="00D550FF"/>
    <w:p w14:paraId="2D58435F" w14:textId="6D401DDC" w:rsidR="00D550FF" w:rsidRPr="00D550FF" w:rsidRDefault="00CA1A30" w:rsidP="00CA1A30">
      <w:pPr>
        <w:pStyle w:val="Heading2"/>
      </w:pPr>
      <w:bookmarkStart w:id="30" w:name="_Toc218449569"/>
      <w:r>
        <w:t>7.</w:t>
      </w:r>
      <w:r w:rsidR="001D51BF">
        <w:t>5</w:t>
      </w:r>
      <w:r>
        <w:t xml:space="preserve"> </w:t>
      </w:r>
      <w:r w:rsidR="00D550FF" w:rsidRPr="00D550FF">
        <w:t>Eindconclusie: Beste obligatiefonds</w:t>
      </w:r>
      <w:bookmarkEnd w:id="30"/>
    </w:p>
    <w:p w14:paraId="2E1D4E2F" w14:textId="77777777" w:rsidR="00D550FF" w:rsidRPr="00D550FF" w:rsidRDefault="00D550FF" w:rsidP="00D550FF">
      <w:r w:rsidRPr="00D550FF">
        <w:t xml:space="preserve">Op basis van de totale beoordeling komt het BNP Paribas Global </w:t>
      </w:r>
      <w:proofErr w:type="spellStart"/>
      <w:r w:rsidRPr="00D550FF">
        <w:t>Sustainable</w:t>
      </w:r>
      <w:proofErr w:type="spellEnd"/>
      <w:r w:rsidRPr="00D550FF">
        <w:t xml:space="preserve"> Bond Fund als beste keuze naar voren. Het fonds scoort niet alleen hoger op duurzaamheid en klimaatrisico’s, maar sluit ook beter aan bij de missie en waarden van </w:t>
      </w:r>
      <w:proofErr w:type="spellStart"/>
      <w:r w:rsidRPr="00D550FF">
        <w:t>Vermogenthuis</w:t>
      </w:r>
      <w:proofErr w:type="spellEnd"/>
      <w:r w:rsidRPr="00D550FF">
        <w:t>. Het heeft een stabiel historisch risicoprofiel, duidelijke ESG-criteria en uitgebreide klantcommunicatie.</w:t>
      </w:r>
    </w:p>
    <w:p w14:paraId="354D1D2B" w14:textId="77777777" w:rsidR="00D550FF" w:rsidRPr="00D550FF" w:rsidRDefault="00D550FF" w:rsidP="00D550FF">
      <w:r w:rsidRPr="00D550FF">
        <w:t xml:space="preserve">Het </w:t>
      </w:r>
      <w:proofErr w:type="spellStart"/>
      <w:r w:rsidRPr="00D550FF">
        <w:t>BlackRock</w:t>
      </w:r>
      <w:proofErr w:type="spellEnd"/>
      <w:r w:rsidRPr="00D550FF">
        <w:t>-fonds is nog steeds een goede optie, vooral vanwege de lagere kosten, maar het past minder sterk bij onze duurzame strategie. Het is daarom logisch dat BNP Paribas in deze vergelijking als beste naar voren komt.</w:t>
      </w:r>
    </w:p>
    <w:p w14:paraId="6A64C805" w14:textId="77777777" w:rsidR="00D550FF" w:rsidRPr="00D550FF" w:rsidRDefault="00D550FF" w:rsidP="00D550FF">
      <w:r w:rsidRPr="00D550FF">
        <w:t xml:space="preserve">BNP Paribas Global </w:t>
      </w:r>
      <w:proofErr w:type="spellStart"/>
      <w:r w:rsidRPr="00D550FF">
        <w:t>Sustainable</w:t>
      </w:r>
      <w:proofErr w:type="spellEnd"/>
      <w:r w:rsidRPr="00D550FF">
        <w:t xml:space="preserve"> Bond Fund belegt wereldwijd in duurzame staats- en bedrijfsobligaties en vormt een stabiele, verantwoorde basis voor duurzaam </w:t>
      </w:r>
      <w:proofErr w:type="spellStart"/>
      <w:r w:rsidRPr="00D550FF">
        <w:t>langetermijnvermogen</w:t>
      </w:r>
      <w:proofErr w:type="spellEnd"/>
      <w:r w:rsidRPr="00D550FF">
        <w:t>.</w:t>
      </w:r>
    </w:p>
    <w:p w14:paraId="4EFAA33D" w14:textId="77777777" w:rsidR="005A3E59" w:rsidRPr="00D550FF" w:rsidRDefault="005A3E59" w:rsidP="005A3E59"/>
    <w:p w14:paraId="1E3E3C24" w14:textId="77777777" w:rsidR="00003051" w:rsidRPr="00D550FF" w:rsidRDefault="00003051" w:rsidP="162A4C99"/>
    <w:p w14:paraId="633DB848" w14:textId="77777777" w:rsidR="00003051" w:rsidRPr="00D550FF" w:rsidRDefault="00003051" w:rsidP="162A4C99"/>
    <w:p w14:paraId="1E3E7F70" w14:textId="77777777" w:rsidR="00227A0D" w:rsidRPr="00D550FF" w:rsidRDefault="00227A0D" w:rsidP="162A4C99"/>
    <w:p w14:paraId="69FA42F2" w14:textId="31C09F33" w:rsidR="00003051" w:rsidRPr="00B00C7E" w:rsidRDefault="00C0712D" w:rsidP="00003051">
      <w:pPr>
        <w:pStyle w:val="Heading1"/>
        <w:rPr>
          <w:lang w:val="en-US"/>
        </w:rPr>
      </w:pPr>
      <w:bookmarkStart w:id="31" w:name="_Toc218449570"/>
      <w:r>
        <w:rPr>
          <w:lang w:val="en-US"/>
        </w:rPr>
        <w:t>8</w:t>
      </w:r>
      <w:r w:rsidR="00003051">
        <w:rPr>
          <w:lang w:val="en-US"/>
        </w:rPr>
        <w:t xml:space="preserve">. </w:t>
      </w:r>
      <w:proofErr w:type="spellStart"/>
      <w:r w:rsidR="00003051">
        <w:rPr>
          <w:lang w:val="en-US"/>
        </w:rPr>
        <w:t>Bibliografie</w:t>
      </w:r>
      <w:bookmarkEnd w:id="31"/>
      <w:proofErr w:type="spellEnd"/>
    </w:p>
    <w:p w14:paraId="68565638" w14:textId="77777777" w:rsidR="004C727A" w:rsidRPr="004C727A" w:rsidRDefault="004C727A" w:rsidP="004C727A">
      <w:r w:rsidRPr="004C727A">
        <w:rPr>
          <w:lang w:val="en-US"/>
        </w:rPr>
        <w:t>Allianz Global Investors. (</w:t>
      </w:r>
      <w:proofErr w:type="spellStart"/>
      <w:r w:rsidRPr="004C727A">
        <w:rPr>
          <w:lang w:val="en-US"/>
        </w:rPr>
        <w:t>z.d</w:t>
      </w:r>
      <w:proofErr w:type="spellEnd"/>
      <w:r w:rsidRPr="004C727A">
        <w:rPr>
          <w:lang w:val="en-US"/>
        </w:rPr>
        <w:t xml:space="preserve">.). </w:t>
      </w:r>
      <w:r w:rsidRPr="004C727A">
        <w:rPr>
          <w:i/>
          <w:iCs/>
          <w:lang w:val="en-US"/>
        </w:rPr>
        <w:t>Allianz Global Sustainability.</w:t>
      </w:r>
      <w:r w:rsidRPr="004C727A">
        <w:rPr>
          <w:lang w:val="en-US"/>
        </w:rPr>
        <w:br/>
      </w:r>
      <w:hyperlink r:id="rId9" w:tgtFrame="_new" w:history="1">
        <w:r w:rsidRPr="004C727A">
          <w:rPr>
            <w:rStyle w:val="Hyperlink"/>
          </w:rPr>
          <w:t>https://nl.allianzgi.com/nl-nl/pro/sustainable-investing/focus-funds/allianz-global-sustainability</w:t>
        </w:r>
      </w:hyperlink>
    </w:p>
    <w:p w14:paraId="5336A10C" w14:textId="77777777" w:rsidR="004C727A" w:rsidRPr="004C727A" w:rsidRDefault="004C727A" w:rsidP="004C727A">
      <w:pPr>
        <w:rPr>
          <w:lang w:val="en-US"/>
        </w:rPr>
      </w:pPr>
      <w:r w:rsidRPr="004C727A">
        <w:rPr>
          <w:lang w:val="en-US"/>
        </w:rPr>
        <w:t>Allianz Global Investors. (</w:t>
      </w:r>
      <w:proofErr w:type="spellStart"/>
      <w:r w:rsidRPr="004C727A">
        <w:rPr>
          <w:lang w:val="en-US"/>
        </w:rPr>
        <w:t>z.d</w:t>
      </w:r>
      <w:proofErr w:type="spellEnd"/>
      <w:r w:rsidRPr="004C727A">
        <w:rPr>
          <w:lang w:val="en-US"/>
        </w:rPr>
        <w:t xml:space="preserve">.). </w:t>
      </w:r>
      <w:r w:rsidRPr="004C727A">
        <w:rPr>
          <w:i/>
          <w:iCs/>
          <w:lang w:val="en-US"/>
        </w:rPr>
        <w:t>Sustainable investing.</w:t>
      </w:r>
      <w:r w:rsidRPr="004C727A">
        <w:rPr>
          <w:lang w:val="en-US"/>
        </w:rPr>
        <w:br/>
      </w:r>
      <w:hyperlink r:id="rId10" w:tgtFrame="_new" w:history="1">
        <w:r w:rsidRPr="004C727A">
          <w:rPr>
            <w:rStyle w:val="Hyperlink"/>
            <w:lang w:val="en-US"/>
          </w:rPr>
          <w:t>https://nl.allianzgi.com/nl-nl/pro/sustainable-investing</w:t>
        </w:r>
      </w:hyperlink>
    </w:p>
    <w:p w14:paraId="71CD291D" w14:textId="77777777" w:rsidR="004C727A" w:rsidRPr="004C727A" w:rsidRDefault="004C727A" w:rsidP="004C727A">
      <w:pPr>
        <w:rPr>
          <w:lang w:val="en-US"/>
        </w:rPr>
      </w:pPr>
      <w:r w:rsidRPr="004C727A">
        <w:rPr>
          <w:lang w:val="en-US"/>
        </w:rPr>
        <w:t>Allianz SE. (</w:t>
      </w:r>
      <w:proofErr w:type="spellStart"/>
      <w:r w:rsidRPr="004C727A">
        <w:rPr>
          <w:lang w:val="en-US"/>
        </w:rPr>
        <w:t>z.d</w:t>
      </w:r>
      <w:proofErr w:type="spellEnd"/>
      <w:r w:rsidRPr="004C727A">
        <w:rPr>
          <w:lang w:val="en-US"/>
        </w:rPr>
        <w:t xml:space="preserve">.). </w:t>
      </w:r>
      <w:r w:rsidRPr="004C727A">
        <w:rPr>
          <w:i/>
          <w:iCs/>
          <w:lang w:val="en-US"/>
        </w:rPr>
        <w:t>Corporate governance.</w:t>
      </w:r>
      <w:r w:rsidRPr="004C727A">
        <w:rPr>
          <w:lang w:val="en-US"/>
        </w:rPr>
        <w:br/>
      </w:r>
      <w:hyperlink r:id="rId11" w:tgtFrame="_new" w:history="1">
        <w:r w:rsidRPr="004C727A">
          <w:rPr>
            <w:rStyle w:val="Hyperlink"/>
            <w:lang w:val="en-US"/>
          </w:rPr>
          <w:t>https://www.allianz.com/en/about-us/corporate-management/corporate-governance.html</w:t>
        </w:r>
      </w:hyperlink>
    </w:p>
    <w:p w14:paraId="66AF42FB" w14:textId="77777777" w:rsidR="004C727A" w:rsidRPr="004C727A" w:rsidRDefault="004C727A" w:rsidP="004C727A">
      <w:pPr>
        <w:rPr>
          <w:lang w:val="en-US"/>
        </w:rPr>
      </w:pPr>
      <w:r w:rsidRPr="004C727A">
        <w:rPr>
          <w:lang w:val="en-US"/>
        </w:rPr>
        <w:t xml:space="preserve">Amundi Asset Management. (2023). </w:t>
      </w:r>
      <w:r w:rsidRPr="004C727A">
        <w:rPr>
          <w:i/>
          <w:iCs/>
          <w:lang w:val="en-US"/>
        </w:rPr>
        <w:t>Global responsible investment policy.</w:t>
      </w:r>
      <w:r w:rsidRPr="004C727A">
        <w:rPr>
          <w:lang w:val="en-US"/>
        </w:rPr>
        <w:t xml:space="preserve"> Amundi.</w:t>
      </w:r>
    </w:p>
    <w:p w14:paraId="6CA9845A" w14:textId="77777777" w:rsidR="004C727A" w:rsidRPr="004C727A" w:rsidRDefault="004C727A" w:rsidP="004C727A">
      <w:pPr>
        <w:rPr>
          <w:lang w:val="en-US"/>
        </w:rPr>
      </w:pPr>
      <w:r w:rsidRPr="004C727A">
        <w:rPr>
          <w:lang w:val="en-US"/>
        </w:rPr>
        <w:t xml:space="preserve">ASN Bank. (2024a). </w:t>
      </w:r>
      <w:r w:rsidRPr="004C727A">
        <w:rPr>
          <w:i/>
          <w:iCs/>
          <w:lang w:val="en-US"/>
        </w:rPr>
        <w:t>Impact report 2023 – ASN Impact Investors.</w:t>
      </w:r>
      <w:r w:rsidRPr="004C727A">
        <w:rPr>
          <w:lang w:val="en-US"/>
        </w:rPr>
        <w:t xml:space="preserve"> ASN Bank.</w:t>
      </w:r>
    </w:p>
    <w:p w14:paraId="3E47637C" w14:textId="77777777" w:rsidR="004C727A" w:rsidRPr="004C727A" w:rsidRDefault="004C727A" w:rsidP="004C727A">
      <w:r w:rsidRPr="004C727A">
        <w:t xml:space="preserve">ASN Bank. (2024b). </w:t>
      </w:r>
      <w:r w:rsidRPr="004C727A">
        <w:rPr>
          <w:i/>
          <w:iCs/>
        </w:rPr>
        <w:t>Jaarverslagen en fondsinformatie ASN Beleggingsfondsen.</w:t>
      </w:r>
      <w:r w:rsidRPr="004C727A">
        <w:t xml:space="preserve"> ASN Bank.</w:t>
      </w:r>
    </w:p>
    <w:p w14:paraId="53C07060" w14:textId="77777777" w:rsidR="004C727A" w:rsidRPr="004C727A" w:rsidRDefault="004C727A" w:rsidP="004C727A">
      <w:r w:rsidRPr="004C727A">
        <w:t xml:space="preserve">Banken.nl. (2024, 27 mei). </w:t>
      </w:r>
      <w:r w:rsidRPr="004C727A">
        <w:rPr>
          <w:i/>
          <w:iCs/>
        </w:rPr>
        <w:t xml:space="preserve">ASN Impact </w:t>
      </w:r>
      <w:proofErr w:type="spellStart"/>
      <w:r w:rsidRPr="004C727A">
        <w:rPr>
          <w:i/>
          <w:iCs/>
        </w:rPr>
        <w:t>Investors</w:t>
      </w:r>
      <w:proofErr w:type="spellEnd"/>
      <w:r w:rsidRPr="004C727A">
        <w:rPr>
          <w:i/>
          <w:iCs/>
        </w:rPr>
        <w:t xml:space="preserve"> publiceert impact report 2023: CO₂-uitstoot met 7,3% gedaald.</w:t>
      </w:r>
      <w:r w:rsidRPr="004C727A">
        <w:br/>
      </w:r>
      <w:hyperlink r:id="rId12" w:tgtFrame="_new" w:history="1">
        <w:r w:rsidRPr="004C727A">
          <w:rPr>
            <w:rStyle w:val="Hyperlink"/>
          </w:rPr>
          <w:t>https://www.banken.nl</w:t>
        </w:r>
      </w:hyperlink>
    </w:p>
    <w:p w14:paraId="18A3F509" w14:textId="77777777" w:rsidR="004C727A" w:rsidRPr="004C727A" w:rsidRDefault="004C727A" w:rsidP="004C727A">
      <w:r w:rsidRPr="004C727A">
        <w:t xml:space="preserve">Belastingdienst. (2025). </w:t>
      </w:r>
      <w:r w:rsidRPr="004C727A">
        <w:rPr>
          <w:i/>
          <w:iCs/>
        </w:rPr>
        <w:t>Box 3: Uitleg en tarieven.</w:t>
      </w:r>
      <w:r w:rsidRPr="004C727A">
        <w:br/>
      </w:r>
      <w:hyperlink r:id="rId13" w:tgtFrame="_new" w:history="1">
        <w:r w:rsidRPr="004C727A">
          <w:rPr>
            <w:rStyle w:val="Hyperlink"/>
          </w:rPr>
          <w:t>https://www.belastingdienst.nl/wps/wcm/connect/bldcontentnl/belastingdienst/prive/inkomstenbelasting/heffingskortingen_boxen_tarieven/boxen_en_tarieven/box_3/</w:t>
        </w:r>
      </w:hyperlink>
    </w:p>
    <w:p w14:paraId="64FC0BCC" w14:textId="77777777" w:rsidR="004C727A" w:rsidRPr="004C727A" w:rsidRDefault="004C727A" w:rsidP="004C727A">
      <w:r w:rsidRPr="004C727A">
        <w:t xml:space="preserve">Belastingdienst. (2025). </w:t>
      </w:r>
      <w:r w:rsidRPr="004C727A">
        <w:rPr>
          <w:i/>
          <w:iCs/>
        </w:rPr>
        <w:t>Groene beleggingen en groene spaartegoeden.</w:t>
      </w:r>
      <w:r w:rsidRPr="004C727A">
        <w:br/>
      </w:r>
      <w:hyperlink r:id="rId14" w:tgtFrame="_new" w:history="1">
        <w:r w:rsidRPr="004C727A">
          <w:rPr>
            <w:rStyle w:val="Hyperlink"/>
          </w:rPr>
          <w:t>https://www.belastingdienst.nl/wps/wcm/connect/bldcontentnl/belastingdienst/prive/vermogen_en_aanmerkelijk_belang/vermogen/beleggen_met_belastingvoordeel/groene_beleggingen</w:t>
        </w:r>
      </w:hyperlink>
    </w:p>
    <w:p w14:paraId="345D6D6C" w14:textId="77777777" w:rsidR="004C727A" w:rsidRPr="004C727A" w:rsidRDefault="004C727A" w:rsidP="004C727A">
      <w:proofErr w:type="spellStart"/>
      <w:r w:rsidRPr="004C727A">
        <w:t>BlackRock</w:t>
      </w:r>
      <w:proofErr w:type="spellEnd"/>
      <w:r w:rsidRPr="004C727A">
        <w:t>. (</w:t>
      </w:r>
      <w:proofErr w:type="spellStart"/>
      <w:r w:rsidRPr="004C727A">
        <w:t>z.d.</w:t>
      </w:r>
      <w:proofErr w:type="spellEnd"/>
      <w:r w:rsidRPr="004C727A">
        <w:t xml:space="preserve">). </w:t>
      </w:r>
      <w:r w:rsidRPr="004C727A">
        <w:rPr>
          <w:i/>
          <w:iCs/>
        </w:rPr>
        <w:t>Ontdek duurzaam en transitiebeleggen.</w:t>
      </w:r>
      <w:r w:rsidRPr="004C727A">
        <w:br/>
      </w:r>
      <w:hyperlink r:id="rId15" w:tgtFrame="_new" w:history="1">
        <w:r w:rsidRPr="004C727A">
          <w:rPr>
            <w:rStyle w:val="Hyperlink"/>
          </w:rPr>
          <w:t>https://www.blackrock.com/nl/professionele-beleggers/themas/duurzaam-en-transitiebeleggen</w:t>
        </w:r>
      </w:hyperlink>
    </w:p>
    <w:p w14:paraId="7F3B99AE" w14:textId="77777777" w:rsidR="004C727A" w:rsidRPr="004C727A" w:rsidRDefault="004C727A" w:rsidP="004C727A">
      <w:r w:rsidRPr="004C727A">
        <w:rPr>
          <w:lang w:val="en-US"/>
        </w:rPr>
        <w:t xml:space="preserve">BlackRock. (2025a). </w:t>
      </w:r>
      <w:r w:rsidRPr="004C727A">
        <w:rPr>
          <w:i/>
          <w:iCs/>
          <w:lang w:val="en-US"/>
        </w:rPr>
        <w:t>iShares Core MSCI World UCITS ETF (Acc): Fund factsheet.</w:t>
      </w:r>
      <w:r w:rsidRPr="004C727A">
        <w:rPr>
          <w:lang w:val="en-US"/>
        </w:rPr>
        <w:br/>
      </w:r>
      <w:hyperlink r:id="rId16" w:tgtFrame="_new" w:history="1">
        <w:r w:rsidRPr="004C727A">
          <w:rPr>
            <w:rStyle w:val="Hyperlink"/>
          </w:rPr>
          <w:t>https://www.blackrock.com/uk/individual/products/251882/ishares-msci-world-ucits-etf-acc-fund</w:t>
        </w:r>
      </w:hyperlink>
    </w:p>
    <w:p w14:paraId="2C83930F" w14:textId="77777777" w:rsidR="004C727A" w:rsidRPr="004C727A" w:rsidRDefault="004C727A" w:rsidP="004C727A">
      <w:r w:rsidRPr="004C727A">
        <w:rPr>
          <w:lang w:val="en-US"/>
        </w:rPr>
        <w:t xml:space="preserve">BlackRock. (2025b). </w:t>
      </w:r>
      <w:r w:rsidRPr="004C727A">
        <w:rPr>
          <w:i/>
          <w:iCs/>
          <w:lang w:val="en-US"/>
        </w:rPr>
        <w:t>BGF Sustainable Energy Fund – Class A2 USD: Key facts.</w:t>
      </w:r>
      <w:r w:rsidRPr="004C727A">
        <w:rPr>
          <w:lang w:val="en-US"/>
        </w:rPr>
        <w:br/>
      </w:r>
      <w:hyperlink r:id="rId17" w:tgtFrame="_new" w:history="1">
        <w:r w:rsidRPr="004C727A">
          <w:rPr>
            <w:rStyle w:val="Hyperlink"/>
          </w:rPr>
          <w:t>https://www.blackrock.com/lu/individual/products/229299/blackrock-new-energy-a2-usd-fund</w:t>
        </w:r>
      </w:hyperlink>
    </w:p>
    <w:p w14:paraId="4EAD8130" w14:textId="77777777" w:rsidR="004C727A" w:rsidRPr="004C727A" w:rsidRDefault="004C727A" w:rsidP="004C727A">
      <w:r w:rsidRPr="004C727A">
        <w:rPr>
          <w:lang w:val="en-US"/>
        </w:rPr>
        <w:t xml:space="preserve">BlackRock. (2025c). </w:t>
      </w:r>
      <w:r w:rsidRPr="004C727A">
        <w:rPr>
          <w:i/>
          <w:iCs/>
          <w:lang w:val="en-US"/>
        </w:rPr>
        <w:t>BGF Sustainable Energy Fund – Class A2 USD: Fund profile &amp; risk indicator.</w:t>
      </w:r>
      <w:r w:rsidRPr="004C727A">
        <w:rPr>
          <w:lang w:val="en-US"/>
        </w:rPr>
        <w:br/>
      </w:r>
      <w:hyperlink r:id="rId18" w:tgtFrame="_new" w:history="1">
        <w:r w:rsidRPr="004C727A">
          <w:rPr>
            <w:rStyle w:val="Hyperlink"/>
          </w:rPr>
          <w:t>https://www.blackrock.com/uk/individual/products/229299/blackrock-new-energy-a2-usd-fund</w:t>
        </w:r>
      </w:hyperlink>
    </w:p>
    <w:p w14:paraId="7141E700" w14:textId="77777777" w:rsidR="004C727A" w:rsidRPr="004C727A" w:rsidRDefault="004C727A" w:rsidP="004C727A">
      <w:r w:rsidRPr="004C727A">
        <w:rPr>
          <w:lang w:val="en-US"/>
        </w:rPr>
        <w:t xml:space="preserve">BlackRock. (2025d). </w:t>
      </w:r>
      <w:r w:rsidRPr="004C727A">
        <w:rPr>
          <w:i/>
          <w:iCs/>
          <w:lang w:val="en-US"/>
        </w:rPr>
        <w:t>BGF Sustainable Energy Fund – Class A2 USD: Factsheet.</w:t>
      </w:r>
      <w:r w:rsidRPr="004C727A">
        <w:rPr>
          <w:lang w:val="en-US"/>
        </w:rPr>
        <w:br/>
      </w:r>
      <w:hyperlink r:id="rId19" w:tgtFrame="_new" w:history="1">
        <w:r w:rsidRPr="004C727A">
          <w:rPr>
            <w:rStyle w:val="Hyperlink"/>
          </w:rPr>
          <w:t>https://www.blackrock.com/lu/individual/literature/fact-sheet/bgf-sustainable-energy-fund-class-a2-usd-factsheet-lu0124384867-lu-en-individual.pdf</w:t>
        </w:r>
      </w:hyperlink>
    </w:p>
    <w:p w14:paraId="0847DFAB" w14:textId="77777777" w:rsidR="004C727A" w:rsidRPr="004C727A" w:rsidRDefault="004C727A" w:rsidP="004C727A">
      <w:r w:rsidRPr="004C727A">
        <w:t xml:space="preserve">BNP Paribas. (2025, 7 april). </w:t>
      </w:r>
      <w:r w:rsidRPr="004C727A">
        <w:rPr>
          <w:i/>
          <w:iCs/>
        </w:rPr>
        <w:t>Duurzame financiering: Oplossingen voor de transitie naar een netto-nul economie.</w:t>
      </w:r>
      <w:r w:rsidRPr="004C727A">
        <w:br/>
      </w:r>
      <w:hyperlink r:id="rId20" w:tgtFrame="_new" w:history="1">
        <w:r w:rsidRPr="004C727A">
          <w:rPr>
            <w:rStyle w:val="Hyperlink"/>
          </w:rPr>
          <w:t>https://www.bnpparibas.nl/nl/corporate-institutional-banking-in-nederland/duurzame-financiering/</w:t>
        </w:r>
      </w:hyperlink>
    </w:p>
    <w:p w14:paraId="485C4F8E" w14:textId="77777777" w:rsidR="004C727A" w:rsidRPr="004C727A" w:rsidRDefault="004C727A" w:rsidP="004C727A">
      <w:r w:rsidRPr="004C727A">
        <w:t>BNP Paribas Asset Management. (</w:t>
      </w:r>
      <w:proofErr w:type="spellStart"/>
      <w:r w:rsidRPr="004C727A">
        <w:t>z.d.</w:t>
      </w:r>
      <w:proofErr w:type="spellEnd"/>
      <w:r w:rsidRPr="004C727A">
        <w:t xml:space="preserve">). </w:t>
      </w:r>
      <w:r w:rsidRPr="004C727A">
        <w:rPr>
          <w:i/>
          <w:iCs/>
        </w:rPr>
        <w:t>SFDR documentatie.</w:t>
      </w:r>
      <w:r w:rsidRPr="004C727A">
        <w:br/>
      </w:r>
      <w:hyperlink r:id="rId21" w:tgtFrame="_new" w:history="1">
        <w:r w:rsidRPr="004C727A">
          <w:rPr>
            <w:rStyle w:val="Hyperlink"/>
          </w:rPr>
          <w:t>https://docfinder.bnpparibas-am.com/api/files/2ae286f3-f2f9-4b39-b416-473360e0c9a7/512</w:t>
        </w:r>
      </w:hyperlink>
    </w:p>
    <w:p w14:paraId="1864C96A" w14:textId="77777777" w:rsidR="004C727A" w:rsidRPr="004C727A" w:rsidRDefault="004C727A" w:rsidP="004C727A">
      <w:r w:rsidRPr="004C727A">
        <w:t>BNP Paribas Fortis. (</w:t>
      </w:r>
      <w:proofErr w:type="spellStart"/>
      <w:r w:rsidRPr="004C727A">
        <w:t>z.d.</w:t>
      </w:r>
      <w:proofErr w:type="spellEnd"/>
      <w:r w:rsidRPr="004C727A">
        <w:t xml:space="preserve">). </w:t>
      </w:r>
      <w:r w:rsidRPr="004C727A">
        <w:rPr>
          <w:i/>
          <w:iCs/>
        </w:rPr>
        <w:t>Starten met beleggen.</w:t>
      </w:r>
      <w:r w:rsidRPr="004C727A">
        <w:br/>
      </w:r>
      <w:hyperlink r:id="rId22" w:tgtFrame="_new" w:history="1">
        <w:r w:rsidRPr="004C727A">
          <w:rPr>
            <w:rStyle w:val="Hyperlink"/>
          </w:rPr>
          <w:t>https://www.bnpparibasfortis.be/nl/public/particulieren/sparen-en-beleggen/investeren/starten</w:t>
        </w:r>
      </w:hyperlink>
    </w:p>
    <w:p w14:paraId="6D8F9E47" w14:textId="77777777" w:rsidR="004C727A" w:rsidRPr="004C727A" w:rsidRDefault="004C727A" w:rsidP="004C727A">
      <w:r w:rsidRPr="004C727A">
        <w:rPr>
          <w:lang w:val="en-US"/>
        </w:rPr>
        <w:t>BNP Paribas Group. (</w:t>
      </w:r>
      <w:proofErr w:type="spellStart"/>
      <w:r w:rsidRPr="004C727A">
        <w:rPr>
          <w:lang w:val="en-US"/>
        </w:rPr>
        <w:t>z.d</w:t>
      </w:r>
      <w:proofErr w:type="spellEnd"/>
      <w:r w:rsidRPr="004C727A">
        <w:rPr>
          <w:lang w:val="en-US"/>
        </w:rPr>
        <w:t xml:space="preserve">.). </w:t>
      </w:r>
      <w:r w:rsidRPr="004C727A">
        <w:rPr>
          <w:i/>
          <w:iCs/>
          <w:lang w:val="en-US"/>
        </w:rPr>
        <w:t>Our governance.</w:t>
      </w:r>
      <w:r w:rsidRPr="004C727A">
        <w:rPr>
          <w:lang w:val="en-US"/>
        </w:rPr>
        <w:br/>
      </w:r>
      <w:hyperlink r:id="rId23" w:tgtFrame="_new" w:history="1">
        <w:r w:rsidRPr="004C727A">
          <w:rPr>
            <w:rStyle w:val="Hyperlink"/>
          </w:rPr>
          <w:t>https://group.bnpparibas/en/group/our-governance</w:t>
        </w:r>
      </w:hyperlink>
    </w:p>
    <w:p w14:paraId="39B80187" w14:textId="77777777" w:rsidR="004C727A" w:rsidRPr="004C727A" w:rsidRDefault="004C727A" w:rsidP="004C727A">
      <w:proofErr w:type="spellStart"/>
      <w:r w:rsidRPr="004C727A">
        <w:t>Bonnafé</w:t>
      </w:r>
      <w:proofErr w:type="spellEnd"/>
      <w:r w:rsidRPr="004C727A">
        <w:t xml:space="preserve">, J. (2024, 24 september). </w:t>
      </w:r>
      <w:r w:rsidRPr="004C727A">
        <w:rPr>
          <w:i/>
          <w:iCs/>
        </w:rPr>
        <w:t>Duurzaamheid.</w:t>
      </w:r>
      <w:r w:rsidRPr="004C727A">
        <w:t xml:space="preserve"> </w:t>
      </w:r>
      <w:r w:rsidRPr="004C727A">
        <w:rPr>
          <w:lang w:val="en-US"/>
        </w:rPr>
        <w:t>BNP Paribas Leasing Solutions Netherlands.</w:t>
      </w:r>
      <w:r w:rsidRPr="004C727A">
        <w:rPr>
          <w:lang w:val="en-US"/>
        </w:rPr>
        <w:br/>
      </w:r>
      <w:hyperlink r:id="rId24" w:tgtFrame="_new" w:history="1">
        <w:r w:rsidRPr="004C727A">
          <w:rPr>
            <w:rStyle w:val="Hyperlink"/>
          </w:rPr>
          <w:t>https://leasingsolutions.bnpparibas.nl/duurzaamheid/</w:t>
        </w:r>
      </w:hyperlink>
    </w:p>
    <w:p w14:paraId="631F7C12" w14:textId="77777777" w:rsidR="004C727A" w:rsidRPr="004C727A" w:rsidRDefault="004C727A" w:rsidP="004C727A">
      <w:pPr>
        <w:rPr>
          <w:lang w:val="en-US"/>
        </w:rPr>
      </w:pPr>
      <w:proofErr w:type="spellStart"/>
      <w:r w:rsidRPr="004C727A">
        <w:t>BrightPensioen</w:t>
      </w:r>
      <w:proofErr w:type="spellEnd"/>
      <w:r w:rsidRPr="004C727A">
        <w:t>. (</w:t>
      </w:r>
      <w:proofErr w:type="spellStart"/>
      <w:r w:rsidRPr="004C727A">
        <w:t>z.d.</w:t>
      </w:r>
      <w:proofErr w:type="spellEnd"/>
      <w:r w:rsidRPr="004C727A">
        <w:t xml:space="preserve">). </w:t>
      </w:r>
      <w:r w:rsidRPr="004C727A">
        <w:rPr>
          <w:i/>
          <w:iCs/>
        </w:rPr>
        <w:t>Fiscaal slim pensioen opbouwen.</w:t>
      </w:r>
      <w:r w:rsidRPr="004C727A">
        <w:br/>
      </w:r>
      <w:hyperlink r:id="rId25" w:tgtFrame="_new" w:history="1">
        <w:r w:rsidRPr="004C727A">
          <w:rPr>
            <w:rStyle w:val="Hyperlink"/>
            <w:lang w:val="en-US"/>
          </w:rPr>
          <w:t>https://www.brightpensioen.nl/pensioen/fiscaal-vriendelijk-pensioenopbouwen/</w:t>
        </w:r>
      </w:hyperlink>
    </w:p>
    <w:p w14:paraId="49E7AB2F" w14:textId="77777777" w:rsidR="004C727A" w:rsidRPr="004C727A" w:rsidRDefault="004C727A" w:rsidP="004C727A">
      <w:pPr>
        <w:rPr>
          <w:lang w:val="en-US"/>
        </w:rPr>
      </w:pPr>
      <w:r w:rsidRPr="004C727A">
        <w:rPr>
          <w:lang w:val="en-US"/>
        </w:rPr>
        <w:t xml:space="preserve">Fidelity International. (2025). </w:t>
      </w:r>
      <w:r w:rsidRPr="004C727A">
        <w:rPr>
          <w:i/>
          <w:iCs/>
          <w:lang w:val="en-US"/>
        </w:rPr>
        <w:t xml:space="preserve">iShares Core MSCI World UCITS ETF USD (Acc): </w:t>
      </w:r>
      <w:proofErr w:type="spellStart"/>
      <w:r w:rsidRPr="004C727A">
        <w:rPr>
          <w:i/>
          <w:iCs/>
          <w:lang w:val="en-US"/>
        </w:rPr>
        <w:t>Performancegegevens</w:t>
      </w:r>
      <w:proofErr w:type="spellEnd"/>
      <w:r w:rsidRPr="004C727A">
        <w:rPr>
          <w:i/>
          <w:iCs/>
          <w:lang w:val="en-US"/>
        </w:rPr>
        <w:t>.</w:t>
      </w:r>
      <w:r w:rsidRPr="004C727A">
        <w:rPr>
          <w:lang w:val="en-US"/>
        </w:rPr>
        <w:br/>
      </w:r>
      <w:hyperlink r:id="rId26" w:tgtFrame="_new" w:history="1">
        <w:r w:rsidRPr="004C727A">
          <w:rPr>
            <w:rStyle w:val="Hyperlink"/>
            <w:lang w:val="en-US"/>
          </w:rPr>
          <w:t>https://www.fidelity.co.uk/</w:t>
        </w:r>
      </w:hyperlink>
    </w:p>
    <w:p w14:paraId="579F1273" w14:textId="77777777" w:rsidR="004C727A" w:rsidRPr="004C727A" w:rsidRDefault="004C727A" w:rsidP="004C727A">
      <w:pPr>
        <w:rPr>
          <w:lang w:val="en-US"/>
        </w:rPr>
      </w:pPr>
      <w:r w:rsidRPr="004C727A">
        <w:rPr>
          <w:lang w:val="en-US"/>
        </w:rPr>
        <w:t xml:space="preserve">Financial News London. (2024, 20 </w:t>
      </w:r>
      <w:proofErr w:type="spellStart"/>
      <w:r w:rsidRPr="004C727A">
        <w:rPr>
          <w:lang w:val="en-US"/>
        </w:rPr>
        <w:t>maart</w:t>
      </w:r>
      <w:proofErr w:type="spellEnd"/>
      <w:r w:rsidRPr="004C727A">
        <w:rPr>
          <w:lang w:val="en-US"/>
        </w:rPr>
        <w:t xml:space="preserve">). </w:t>
      </w:r>
      <w:r w:rsidRPr="004C727A">
        <w:rPr>
          <w:i/>
          <w:iCs/>
          <w:lang w:val="en-US"/>
        </w:rPr>
        <w:t>BlackRock, LGIM and DWS sustainable passive funds exposed to fossil fuels.</w:t>
      </w:r>
    </w:p>
    <w:p w14:paraId="0C93A098" w14:textId="77777777" w:rsidR="004C727A" w:rsidRPr="004C727A" w:rsidRDefault="004C727A" w:rsidP="004C727A">
      <w:pPr>
        <w:rPr>
          <w:lang w:val="en-US"/>
        </w:rPr>
      </w:pPr>
      <w:proofErr w:type="spellStart"/>
      <w:r w:rsidRPr="004C727A">
        <w:rPr>
          <w:lang w:val="en-US"/>
        </w:rPr>
        <w:t>justETF</w:t>
      </w:r>
      <w:proofErr w:type="spellEnd"/>
      <w:r w:rsidRPr="004C727A">
        <w:rPr>
          <w:lang w:val="en-US"/>
        </w:rPr>
        <w:t xml:space="preserve">. (2025). </w:t>
      </w:r>
      <w:r w:rsidRPr="004C727A">
        <w:rPr>
          <w:i/>
          <w:iCs/>
          <w:lang w:val="en-US"/>
        </w:rPr>
        <w:t xml:space="preserve">iShares Core MSCI World UCITS ETF: Factsheet </w:t>
      </w:r>
      <w:proofErr w:type="spellStart"/>
      <w:r w:rsidRPr="004C727A">
        <w:rPr>
          <w:i/>
          <w:iCs/>
          <w:lang w:val="en-US"/>
        </w:rPr>
        <w:t>en</w:t>
      </w:r>
      <w:proofErr w:type="spellEnd"/>
      <w:r w:rsidRPr="004C727A">
        <w:rPr>
          <w:i/>
          <w:iCs/>
          <w:lang w:val="en-US"/>
        </w:rPr>
        <w:t xml:space="preserve"> </w:t>
      </w:r>
      <w:proofErr w:type="spellStart"/>
      <w:r w:rsidRPr="004C727A">
        <w:rPr>
          <w:i/>
          <w:iCs/>
          <w:lang w:val="en-US"/>
        </w:rPr>
        <w:t>risicogegevens</w:t>
      </w:r>
      <w:proofErr w:type="spellEnd"/>
      <w:r w:rsidRPr="004C727A">
        <w:rPr>
          <w:i/>
          <w:iCs/>
          <w:lang w:val="en-US"/>
        </w:rPr>
        <w:t>.</w:t>
      </w:r>
      <w:r w:rsidRPr="004C727A">
        <w:rPr>
          <w:lang w:val="en-US"/>
        </w:rPr>
        <w:br/>
      </w:r>
      <w:hyperlink r:id="rId27" w:tgtFrame="_new" w:history="1">
        <w:r w:rsidRPr="004C727A">
          <w:rPr>
            <w:rStyle w:val="Hyperlink"/>
            <w:lang w:val="en-US"/>
          </w:rPr>
          <w:t>https://www.justetf.com/</w:t>
        </w:r>
      </w:hyperlink>
    </w:p>
    <w:p w14:paraId="1684A064" w14:textId="77777777" w:rsidR="004C727A" w:rsidRPr="004C727A" w:rsidRDefault="004C727A" w:rsidP="004C727A">
      <w:pPr>
        <w:rPr>
          <w:lang w:val="en-US"/>
        </w:rPr>
      </w:pPr>
      <w:r w:rsidRPr="004C727A">
        <w:rPr>
          <w:lang w:val="en-US"/>
        </w:rPr>
        <w:t xml:space="preserve">Morningstar. (2025a). </w:t>
      </w:r>
      <w:r w:rsidRPr="004C727A">
        <w:rPr>
          <w:i/>
          <w:iCs/>
          <w:lang w:val="en-US"/>
        </w:rPr>
        <w:t>Fund data: iShares Core MSCI World UCITS ETF USD (Acc).</w:t>
      </w:r>
      <w:r w:rsidRPr="004C727A">
        <w:rPr>
          <w:lang w:val="en-US"/>
        </w:rPr>
        <w:br/>
      </w:r>
      <w:hyperlink r:id="rId28" w:tgtFrame="_new" w:history="1">
        <w:r w:rsidRPr="004C727A">
          <w:rPr>
            <w:rStyle w:val="Hyperlink"/>
            <w:lang w:val="en-US"/>
          </w:rPr>
          <w:t>https://global.morningstar.com/</w:t>
        </w:r>
      </w:hyperlink>
    </w:p>
    <w:p w14:paraId="7909E681" w14:textId="77777777" w:rsidR="004C727A" w:rsidRPr="004C727A" w:rsidRDefault="004C727A" w:rsidP="004C727A">
      <w:pPr>
        <w:rPr>
          <w:lang w:val="en-US"/>
        </w:rPr>
      </w:pPr>
      <w:r w:rsidRPr="004C727A">
        <w:rPr>
          <w:lang w:val="en-US"/>
        </w:rPr>
        <w:t xml:space="preserve">Morningstar. (2025b). </w:t>
      </w:r>
      <w:r w:rsidRPr="004C727A">
        <w:rPr>
          <w:i/>
          <w:iCs/>
          <w:lang w:val="en-US"/>
        </w:rPr>
        <w:t xml:space="preserve">BGF Sustainable Energy Fund A2 USD: Performance- </w:t>
      </w:r>
      <w:proofErr w:type="spellStart"/>
      <w:r w:rsidRPr="004C727A">
        <w:rPr>
          <w:i/>
          <w:iCs/>
          <w:lang w:val="en-US"/>
        </w:rPr>
        <w:t>en</w:t>
      </w:r>
      <w:proofErr w:type="spellEnd"/>
      <w:r w:rsidRPr="004C727A">
        <w:rPr>
          <w:i/>
          <w:iCs/>
          <w:lang w:val="en-US"/>
        </w:rPr>
        <w:t xml:space="preserve"> </w:t>
      </w:r>
      <w:proofErr w:type="spellStart"/>
      <w:r w:rsidRPr="004C727A">
        <w:rPr>
          <w:i/>
          <w:iCs/>
          <w:lang w:val="en-US"/>
        </w:rPr>
        <w:t>risicodata</w:t>
      </w:r>
      <w:proofErr w:type="spellEnd"/>
      <w:r w:rsidRPr="004C727A">
        <w:rPr>
          <w:i/>
          <w:iCs/>
          <w:lang w:val="en-US"/>
        </w:rPr>
        <w:t>.</w:t>
      </w:r>
      <w:r w:rsidRPr="004C727A">
        <w:rPr>
          <w:lang w:val="en-US"/>
        </w:rPr>
        <w:br/>
      </w:r>
      <w:hyperlink r:id="rId29" w:tgtFrame="_new" w:history="1">
        <w:r w:rsidRPr="004C727A">
          <w:rPr>
            <w:rStyle w:val="Hyperlink"/>
            <w:lang w:val="en-US"/>
          </w:rPr>
          <w:t>https://global.morningstar.com/</w:t>
        </w:r>
      </w:hyperlink>
    </w:p>
    <w:p w14:paraId="0BDCDC53" w14:textId="77777777" w:rsidR="004C727A" w:rsidRPr="004C727A" w:rsidRDefault="004C727A" w:rsidP="004C727A">
      <w:pPr>
        <w:rPr>
          <w:lang w:val="en-US"/>
        </w:rPr>
      </w:pPr>
      <w:r w:rsidRPr="004C727A">
        <w:rPr>
          <w:lang w:val="en-US"/>
        </w:rPr>
        <w:t xml:space="preserve">Morningstar. (2025, 30 </w:t>
      </w:r>
      <w:proofErr w:type="spellStart"/>
      <w:r w:rsidRPr="004C727A">
        <w:rPr>
          <w:lang w:val="en-US"/>
        </w:rPr>
        <w:t>november</w:t>
      </w:r>
      <w:proofErr w:type="spellEnd"/>
      <w:r w:rsidRPr="004C727A">
        <w:rPr>
          <w:lang w:val="en-US"/>
        </w:rPr>
        <w:t xml:space="preserve">). </w:t>
      </w:r>
      <w:r w:rsidRPr="004C727A">
        <w:rPr>
          <w:i/>
          <w:iCs/>
          <w:lang w:val="en-US"/>
        </w:rPr>
        <w:t>Morningstar, Inc.</w:t>
      </w:r>
      <w:r w:rsidRPr="004C727A">
        <w:rPr>
          <w:lang w:val="en-US"/>
        </w:rPr>
        <w:br/>
      </w:r>
      <w:hyperlink r:id="rId30" w:tgtFrame="_new" w:history="1">
        <w:r w:rsidRPr="004C727A">
          <w:rPr>
            <w:rStyle w:val="Hyperlink"/>
            <w:lang w:val="en-US"/>
          </w:rPr>
          <w:t>https://global.morningstar.com/nl/beleggingen/fondsen/F00000PXHW/quote</w:t>
        </w:r>
      </w:hyperlink>
    </w:p>
    <w:p w14:paraId="32FD2090" w14:textId="77777777" w:rsidR="004C727A" w:rsidRPr="004C727A" w:rsidRDefault="004C727A" w:rsidP="004C727A">
      <w:r w:rsidRPr="004C727A">
        <w:t>Rijksoverheid. (</w:t>
      </w:r>
      <w:proofErr w:type="spellStart"/>
      <w:r w:rsidRPr="004C727A">
        <w:t>z.d.</w:t>
      </w:r>
      <w:proofErr w:type="spellEnd"/>
      <w:r w:rsidRPr="004C727A">
        <w:t xml:space="preserve">). </w:t>
      </w:r>
      <w:r w:rsidRPr="004C727A">
        <w:rPr>
          <w:i/>
          <w:iCs/>
        </w:rPr>
        <w:t>Wat is groen sparen of beleggen?</w:t>
      </w:r>
      <w:r w:rsidRPr="004C727A">
        <w:br/>
      </w:r>
      <w:hyperlink r:id="rId31" w:tgtFrame="_new" w:history="1">
        <w:r w:rsidRPr="004C727A">
          <w:rPr>
            <w:rStyle w:val="Hyperlink"/>
          </w:rPr>
          <w:t>https://www.rijksoverheid.nl/onderwerpen/duurzame-economie/vraag-en-antwoord/groen-sparen-in-een-groenfonds</w:t>
        </w:r>
      </w:hyperlink>
    </w:p>
    <w:p w14:paraId="33D707EF" w14:textId="77777777" w:rsidR="004C727A" w:rsidRPr="004C727A" w:rsidRDefault="004C727A" w:rsidP="004C727A">
      <w:pPr>
        <w:rPr>
          <w:lang w:val="en-US"/>
        </w:rPr>
      </w:pPr>
      <w:r w:rsidRPr="004C727A">
        <w:rPr>
          <w:lang w:val="en-US"/>
        </w:rPr>
        <w:t xml:space="preserve">Robeco. (2024). </w:t>
      </w:r>
      <w:r w:rsidRPr="004C727A">
        <w:rPr>
          <w:i/>
          <w:iCs/>
          <w:lang w:val="en-US"/>
        </w:rPr>
        <w:t>Stewardship report 2023: Accelerating positive change.</w:t>
      </w:r>
      <w:r w:rsidRPr="004C727A">
        <w:rPr>
          <w:lang w:val="en-US"/>
        </w:rPr>
        <w:t xml:space="preserve"> Robeco.</w:t>
      </w:r>
    </w:p>
    <w:p w14:paraId="5B582A93" w14:textId="77777777" w:rsidR="004C727A" w:rsidRPr="004C727A" w:rsidRDefault="004C727A" w:rsidP="004C727A">
      <w:pPr>
        <w:rPr>
          <w:lang w:val="en-US"/>
        </w:rPr>
      </w:pPr>
      <w:proofErr w:type="spellStart"/>
      <w:r w:rsidRPr="004C727A">
        <w:rPr>
          <w:lang w:val="en-US"/>
        </w:rPr>
        <w:t>Testaankoop</w:t>
      </w:r>
      <w:proofErr w:type="spellEnd"/>
      <w:r w:rsidRPr="004C727A">
        <w:rPr>
          <w:lang w:val="en-US"/>
        </w:rPr>
        <w:t xml:space="preserve"> Invest. (2025). </w:t>
      </w:r>
      <w:proofErr w:type="spellStart"/>
      <w:r w:rsidRPr="004C727A">
        <w:rPr>
          <w:i/>
          <w:iCs/>
          <w:lang w:val="en-US"/>
        </w:rPr>
        <w:t>Triodos</w:t>
      </w:r>
      <w:proofErr w:type="spellEnd"/>
      <w:r w:rsidRPr="004C727A">
        <w:rPr>
          <w:i/>
          <w:iCs/>
          <w:lang w:val="en-US"/>
        </w:rPr>
        <w:t xml:space="preserve"> Global Equities Impact Fund R: </w:t>
      </w:r>
      <w:proofErr w:type="spellStart"/>
      <w:r w:rsidRPr="004C727A">
        <w:rPr>
          <w:i/>
          <w:iCs/>
          <w:lang w:val="en-US"/>
        </w:rPr>
        <w:t>Rendement</w:t>
      </w:r>
      <w:proofErr w:type="spellEnd"/>
      <w:r w:rsidRPr="004C727A">
        <w:rPr>
          <w:i/>
          <w:iCs/>
          <w:lang w:val="en-US"/>
        </w:rPr>
        <w:t xml:space="preserve">, </w:t>
      </w:r>
      <w:proofErr w:type="spellStart"/>
      <w:r w:rsidRPr="004C727A">
        <w:rPr>
          <w:i/>
          <w:iCs/>
          <w:lang w:val="en-US"/>
        </w:rPr>
        <w:t>kosten</w:t>
      </w:r>
      <w:proofErr w:type="spellEnd"/>
      <w:r w:rsidRPr="004C727A">
        <w:rPr>
          <w:i/>
          <w:iCs/>
          <w:lang w:val="en-US"/>
        </w:rPr>
        <w:t xml:space="preserve"> </w:t>
      </w:r>
      <w:proofErr w:type="spellStart"/>
      <w:r w:rsidRPr="004C727A">
        <w:rPr>
          <w:i/>
          <w:iCs/>
          <w:lang w:val="en-US"/>
        </w:rPr>
        <w:t>en</w:t>
      </w:r>
      <w:proofErr w:type="spellEnd"/>
      <w:r w:rsidRPr="004C727A">
        <w:rPr>
          <w:i/>
          <w:iCs/>
          <w:lang w:val="en-US"/>
        </w:rPr>
        <w:t xml:space="preserve"> </w:t>
      </w:r>
      <w:proofErr w:type="spellStart"/>
      <w:r w:rsidRPr="004C727A">
        <w:rPr>
          <w:i/>
          <w:iCs/>
          <w:lang w:val="en-US"/>
        </w:rPr>
        <w:t>risicoklasse</w:t>
      </w:r>
      <w:proofErr w:type="spellEnd"/>
      <w:r w:rsidRPr="004C727A">
        <w:rPr>
          <w:i/>
          <w:iCs/>
          <w:lang w:val="en-US"/>
        </w:rPr>
        <w:t>.</w:t>
      </w:r>
      <w:r w:rsidRPr="004C727A">
        <w:rPr>
          <w:lang w:val="en-US"/>
        </w:rPr>
        <w:br/>
      </w:r>
      <w:hyperlink r:id="rId32" w:tgtFrame="_new" w:history="1">
        <w:r w:rsidRPr="004C727A">
          <w:rPr>
            <w:rStyle w:val="Hyperlink"/>
            <w:lang w:val="en-US"/>
          </w:rPr>
          <w:t>https://www.test-aankoop.be/invest/beleggen/fondsen/triodos-global-equities-impact-fund-r</w:t>
        </w:r>
      </w:hyperlink>
    </w:p>
    <w:p w14:paraId="60661F91" w14:textId="77777777" w:rsidR="004C727A" w:rsidRPr="004C727A" w:rsidRDefault="004C727A" w:rsidP="004C727A">
      <w:pPr>
        <w:rPr>
          <w:lang w:val="en-US"/>
        </w:rPr>
      </w:pPr>
      <w:r w:rsidRPr="004C727A">
        <w:rPr>
          <w:lang w:val="en-US"/>
        </w:rPr>
        <w:t xml:space="preserve">The Guardian. (2024, 25 </w:t>
      </w:r>
      <w:proofErr w:type="spellStart"/>
      <w:r w:rsidRPr="004C727A">
        <w:rPr>
          <w:lang w:val="en-US"/>
        </w:rPr>
        <w:t>juni</w:t>
      </w:r>
      <w:proofErr w:type="spellEnd"/>
      <w:r w:rsidRPr="004C727A">
        <w:rPr>
          <w:lang w:val="en-US"/>
        </w:rPr>
        <w:t xml:space="preserve">). </w:t>
      </w:r>
      <w:r w:rsidRPr="004C727A">
        <w:rPr>
          <w:i/>
          <w:iCs/>
          <w:lang w:val="en-US"/>
        </w:rPr>
        <w:t>EU-regulated “sustainable” funds invest £14bn in biggest polluters.</w:t>
      </w:r>
    </w:p>
    <w:p w14:paraId="48D5F988" w14:textId="77777777" w:rsidR="004C727A" w:rsidRPr="004C727A" w:rsidRDefault="004C727A" w:rsidP="004C727A">
      <w:pPr>
        <w:rPr>
          <w:lang w:val="en-US"/>
        </w:rPr>
      </w:pPr>
      <w:r w:rsidRPr="004C727A">
        <w:rPr>
          <w:lang w:val="en-US"/>
        </w:rPr>
        <w:t xml:space="preserve">The Guardian. (2025, 18 </w:t>
      </w:r>
      <w:proofErr w:type="spellStart"/>
      <w:r w:rsidRPr="004C727A">
        <w:rPr>
          <w:lang w:val="en-US"/>
        </w:rPr>
        <w:t>mei</w:t>
      </w:r>
      <w:proofErr w:type="spellEnd"/>
      <w:r w:rsidRPr="004C727A">
        <w:rPr>
          <w:lang w:val="en-US"/>
        </w:rPr>
        <w:t xml:space="preserve">). </w:t>
      </w:r>
      <w:r w:rsidRPr="004C727A">
        <w:rPr>
          <w:i/>
          <w:iCs/>
          <w:lang w:val="en-US"/>
        </w:rPr>
        <w:t>Revealed: European “green” investments hold billions in fossil fuel majors.</w:t>
      </w:r>
    </w:p>
    <w:p w14:paraId="53D2B9E9"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Bank. (2025a). </w:t>
      </w:r>
      <w:proofErr w:type="spellStart"/>
      <w:r w:rsidRPr="004C727A">
        <w:rPr>
          <w:i/>
          <w:iCs/>
          <w:lang w:val="en-US"/>
        </w:rPr>
        <w:t>Triodos</w:t>
      </w:r>
      <w:proofErr w:type="spellEnd"/>
      <w:r w:rsidRPr="004C727A">
        <w:rPr>
          <w:i/>
          <w:iCs/>
          <w:lang w:val="en-US"/>
        </w:rPr>
        <w:t xml:space="preserve"> Energy Transition Europe Fund: </w:t>
      </w:r>
      <w:proofErr w:type="spellStart"/>
      <w:r w:rsidRPr="004C727A">
        <w:rPr>
          <w:i/>
          <w:iCs/>
          <w:lang w:val="en-US"/>
        </w:rPr>
        <w:t>Beleggen</w:t>
      </w:r>
      <w:proofErr w:type="spellEnd"/>
      <w:r w:rsidRPr="004C727A">
        <w:rPr>
          <w:i/>
          <w:iCs/>
          <w:lang w:val="en-US"/>
        </w:rPr>
        <w:t xml:space="preserve"> in </w:t>
      </w:r>
      <w:proofErr w:type="spellStart"/>
      <w:r w:rsidRPr="004C727A">
        <w:rPr>
          <w:i/>
          <w:iCs/>
          <w:lang w:val="en-US"/>
        </w:rPr>
        <w:t>schone</w:t>
      </w:r>
      <w:proofErr w:type="spellEnd"/>
      <w:r w:rsidRPr="004C727A">
        <w:rPr>
          <w:i/>
          <w:iCs/>
          <w:lang w:val="en-US"/>
        </w:rPr>
        <w:t xml:space="preserve"> </w:t>
      </w:r>
      <w:proofErr w:type="spellStart"/>
      <w:r w:rsidRPr="004C727A">
        <w:rPr>
          <w:i/>
          <w:iCs/>
          <w:lang w:val="en-US"/>
        </w:rPr>
        <w:t>energie</w:t>
      </w:r>
      <w:proofErr w:type="spellEnd"/>
      <w:r w:rsidRPr="004C727A">
        <w:rPr>
          <w:i/>
          <w:iCs/>
          <w:lang w:val="en-US"/>
        </w:rPr>
        <w:t>.</w:t>
      </w:r>
      <w:r w:rsidRPr="004C727A">
        <w:rPr>
          <w:lang w:val="en-US"/>
        </w:rPr>
        <w:br/>
      </w:r>
      <w:hyperlink r:id="rId33" w:tgtFrame="_new" w:history="1">
        <w:r w:rsidRPr="004C727A">
          <w:rPr>
            <w:rStyle w:val="Hyperlink"/>
            <w:lang w:val="en-US"/>
          </w:rPr>
          <w:t>https://www.triodos.nl/beleggen/energy-transition-europe-fund/NL0013908700</w:t>
        </w:r>
      </w:hyperlink>
    </w:p>
    <w:p w14:paraId="563301E0"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Bank. (2025b). </w:t>
      </w:r>
      <w:proofErr w:type="spellStart"/>
      <w:r w:rsidRPr="004C727A">
        <w:rPr>
          <w:i/>
          <w:iCs/>
          <w:lang w:val="en-US"/>
        </w:rPr>
        <w:t>Triodos</w:t>
      </w:r>
      <w:proofErr w:type="spellEnd"/>
      <w:r w:rsidRPr="004C727A">
        <w:rPr>
          <w:i/>
          <w:iCs/>
          <w:lang w:val="en-US"/>
        </w:rPr>
        <w:t xml:space="preserve"> Global Equities Impact Fund: </w:t>
      </w:r>
      <w:proofErr w:type="spellStart"/>
      <w:r w:rsidRPr="004C727A">
        <w:rPr>
          <w:i/>
          <w:iCs/>
          <w:lang w:val="en-US"/>
        </w:rPr>
        <w:t>Duurzaam</w:t>
      </w:r>
      <w:proofErr w:type="spellEnd"/>
      <w:r w:rsidRPr="004C727A">
        <w:rPr>
          <w:i/>
          <w:iCs/>
          <w:lang w:val="en-US"/>
        </w:rPr>
        <w:t xml:space="preserve"> </w:t>
      </w:r>
      <w:proofErr w:type="spellStart"/>
      <w:r w:rsidRPr="004C727A">
        <w:rPr>
          <w:i/>
          <w:iCs/>
          <w:lang w:val="en-US"/>
        </w:rPr>
        <w:t>beleggen</w:t>
      </w:r>
      <w:proofErr w:type="spellEnd"/>
      <w:r w:rsidRPr="004C727A">
        <w:rPr>
          <w:i/>
          <w:iCs/>
          <w:lang w:val="en-US"/>
        </w:rPr>
        <w:t xml:space="preserve"> in </w:t>
      </w:r>
      <w:proofErr w:type="spellStart"/>
      <w:r w:rsidRPr="004C727A">
        <w:rPr>
          <w:i/>
          <w:iCs/>
          <w:lang w:val="en-US"/>
        </w:rPr>
        <w:t>aandelen</w:t>
      </w:r>
      <w:proofErr w:type="spellEnd"/>
      <w:r w:rsidRPr="004C727A">
        <w:rPr>
          <w:i/>
          <w:iCs/>
          <w:lang w:val="en-US"/>
        </w:rPr>
        <w:t>.</w:t>
      </w:r>
      <w:r w:rsidRPr="004C727A">
        <w:rPr>
          <w:lang w:val="en-US"/>
        </w:rPr>
        <w:br/>
      </w:r>
      <w:hyperlink r:id="rId34" w:tgtFrame="_new" w:history="1">
        <w:r w:rsidRPr="004C727A">
          <w:rPr>
            <w:rStyle w:val="Hyperlink"/>
            <w:lang w:val="en-US"/>
          </w:rPr>
          <w:t>https://www.triodos.nl/beleggen/global-equities-impact-fund/LU0785617423</w:t>
        </w:r>
      </w:hyperlink>
    </w:p>
    <w:p w14:paraId="7DDBCD3B" w14:textId="77777777" w:rsidR="004C727A" w:rsidRPr="004C727A" w:rsidRDefault="004C727A" w:rsidP="004C727A">
      <w:r w:rsidRPr="004C727A">
        <w:t xml:space="preserve">Triodos Bank. (2025c). </w:t>
      </w:r>
      <w:r w:rsidRPr="004C727A">
        <w:rPr>
          <w:i/>
          <w:iCs/>
        </w:rPr>
        <w:t>Koersen en rendementen Triodos beleggingsfondsen.</w:t>
      </w:r>
      <w:r w:rsidRPr="004C727A">
        <w:br/>
      </w:r>
      <w:hyperlink r:id="rId35" w:tgtFrame="_new" w:history="1">
        <w:r w:rsidRPr="004C727A">
          <w:rPr>
            <w:rStyle w:val="Hyperlink"/>
          </w:rPr>
          <w:t>https://www.triodos.nl/beleggen/impact-in-cijfers</w:t>
        </w:r>
      </w:hyperlink>
    </w:p>
    <w:p w14:paraId="745D4EFC" w14:textId="77777777" w:rsidR="004C727A" w:rsidRPr="004C727A" w:rsidRDefault="004C727A" w:rsidP="004C727A">
      <w:pPr>
        <w:rPr>
          <w:lang w:val="en-US"/>
        </w:rPr>
      </w:pPr>
      <w:r w:rsidRPr="004C727A">
        <w:t xml:space="preserve">Triodos Bank. (2025d). </w:t>
      </w:r>
      <w:r w:rsidRPr="004C727A">
        <w:rPr>
          <w:i/>
          <w:iCs/>
        </w:rPr>
        <w:t>Rendement van beleggen: Overzicht rendementen Triodos-fondsen.</w:t>
      </w:r>
      <w:r w:rsidRPr="004C727A">
        <w:br/>
      </w:r>
      <w:hyperlink r:id="rId36" w:tgtFrame="_new" w:history="1">
        <w:r w:rsidRPr="004C727A">
          <w:rPr>
            <w:rStyle w:val="Hyperlink"/>
            <w:lang w:val="en-US"/>
          </w:rPr>
          <w:t>https://www.triodos.nl/beleggen/rendement</w:t>
        </w:r>
      </w:hyperlink>
    </w:p>
    <w:p w14:paraId="3AAC11CF"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Investment Management. (2024a). </w:t>
      </w:r>
      <w:r w:rsidRPr="004C727A">
        <w:rPr>
          <w:i/>
          <w:iCs/>
          <w:lang w:val="en-US"/>
        </w:rPr>
        <w:t>Impact report 2023: Our impact is crystal clear.</w:t>
      </w:r>
      <w:r w:rsidRPr="004C727A">
        <w:rPr>
          <w:lang w:val="en-US"/>
        </w:rPr>
        <w:t xml:space="preserve"> </w:t>
      </w:r>
      <w:proofErr w:type="spellStart"/>
      <w:r w:rsidRPr="004C727A">
        <w:rPr>
          <w:lang w:val="en-US"/>
        </w:rPr>
        <w:t>Triodos</w:t>
      </w:r>
      <w:proofErr w:type="spellEnd"/>
      <w:r w:rsidRPr="004C727A">
        <w:rPr>
          <w:lang w:val="en-US"/>
        </w:rPr>
        <w:t xml:space="preserve"> IM.</w:t>
      </w:r>
    </w:p>
    <w:p w14:paraId="7633FA34"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Investment Management. (2024b). </w:t>
      </w:r>
      <w:r w:rsidRPr="004C727A">
        <w:rPr>
          <w:i/>
          <w:iCs/>
          <w:lang w:val="en-US"/>
        </w:rPr>
        <w:t>Annual report 2023.</w:t>
      </w:r>
      <w:r w:rsidRPr="004C727A">
        <w:rPr>
          <w:lang w:val="en-US"/>
        </w:rPr>
        <w:t xml:space="preserve"> </w:t>
      </w:r>
      <w:proofErr w:type="spellStart"/>
      <w:r w:rsidRPr="004C727A">
        <w:rPr>
          <w:lang w:val="en-US"/>
        </w:rPr>
        <w:t>Triodos</w:t>
      </w:r>
      <w:proofErr w:type="spellEnd"/>
      <w:r w:rsidRPr="004C727A">
        <w:rPr>
          <w:lang w:val="en-US"/>
        </w:rPr>
        <w:t xml:space="preserve"> IM.</w:t>
      </w:r>
    </w:p>
    <w:p w14:paraId="43128C16"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Investment Management. (2024c). </w:t>
      </w:r>
      <w:r w:rsidRPr="004C727A">
        <w:rPr>
          <w:i/>
          <w:iCs/>
          <w:lang w:val="en-US"/>
        </w:rPr>
        <w:t>EU taxonomy: Key to climate neutrality or carte blanche for greenwashing?</w:t>
      </w:r>
      <w:r w:rsidRPr="004C727A">
        <w:rPr>
          <w:lang w:val="en-US"/>
        </w:rPr>
        <w:t xml:space="preserve"> </w:t>
      </w:r>
      <w:proofErr w:type="spellStart"/>
      <w:r w:rsidRPr="004C727A">
        <w:rPr>
          <w:lang w:val="en-US"/>
        </w:rPr>
        <w:t>Triodos</w:t>
      </w:r>
      <w:proofErr w:type="spellEnd"/>
      <w:r w:rsidRPr="004C727A">
        <w:rPr>
          <w:lang w:val="en-US"/>
        </w:rPr>
        <w:t xml:space="preserve"> IM.</w:t>
      </w:r>
    </w:p>
    <w:p w14:paraId="3994F0C0"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Investment Management. (2024d). </w:t>
      </w:r>
      <w:proofErr w:type="spellStart"/>
      <w:r w:rsidRPr="004C727A">
        <w:rPr>
          <w:i/>
          <w:iCs/>
          <w:lang w:val="en-US"/>
        </w:rPr>
        <w:t>Triodos</w:t>
      </w:r>
      <w:proofErr w:type="spellEnd"/>
      <w:r w:rsidRPr="004C727A">
        <w:rPr>
          <w:i/>
          <w:iCs/>
          <w:lang w:val="en-US"/>
        </w:rPr>
        <w:t xml:space="preserve"> Energy Transition Europe Fund: Impact report 2023.</w:t>
      </w:r>
      <w:r w:rsidRPr="004C727A">
        <w:rPr>
          <w:lang w:val="en-US"/>
        </w:rPr>
        <w:t xml:space="preserve"> </w:t>
      </w:r>
      <w:proofErr w:type="spellStart"/>
      <w:r w:rsidRPr="004C727A">
        <w:rPr>
          <w:lang w:val="en-US"/>
        </w:rPr>
        <w:t>Triodos</w:t>
      </w:r>
      <w:proofErr w:type="spellEnd"/>
      <w:r w:rsidRPr="004C727A">
        <w:rPr>
          <w:lang w:val="en-US"/>
        </w:rPr>
        <w:t xml:space="preserve"> IM.</w:t>
      </w:r>
    </w:p>
    <w:p w14:paraId="21E4B78A" w14:textId="77777777" w:rsidR="004C727A" w:rsidRPr="004C727A" w:rsidRDefault="004C727A" w:rsidP="004C727A">
      <w:pPr>
        <w:rPr>
          <w:lang w:val="en-US"/>
        </w:rPr>
      </w:pPr>
      <w:proofErr w:type="spellStart"/>
      <w:r w:rsidRPr="004C727A">
        <w:rPr>
          <w:lang w:val="en-US"/>
        </w:rPr>
        <w:t>Triodos</w:t>
      </w:r>
      <w:proofErr w:type="spellEnd"/>
      <w:r w:rsidRPr="004C727A">
        <w:rPr>
          <w:lang w:val="en-US"/>
        </w:rPr>
        <w:t xml:space="preserve"> Investment Management. (2025a). </w:t>
      </w:r>
      <w:proofErr w:type="spellStart"/>
      <w:r w:rsidRPr="004C727A">
        <w:rPr>
          <w:i/>
          <w:iCs/>
          <w:lang w:val="en-US"/>
        </w:rPr>
        <w:t>Triodos</w:t>
      </w:r>
      <w:proofErr w:type="spellEnd"/>
      <w:r w:rsidRPr="004C727A">
        <w:rPr>
          <w:i/>
          <w:iCs/>
          <w:lang w:val="en-US"/>
        </w:rPr>
        <w:t xml:space="preserve"> Global Equities Impact Fund: </w:t>
      </w:r>
      <w:proofErr w:type="spellStart"/>
      <w:r w:rsidRPr="004C727A">
        <w:rPr>
          <w:i/>
          <w:iCs/>
          <w:lang w:val="en-US"/>
        </w:rPr>
        <w:t>Duurzaam</w:t>
      </w:r>
      <w:proofErr w:type="spellEnd"/>
      <w:r w:rsidRPr="004C727A">
        <w:rPr>
          <w:i/>
          <w:iCs/>
          <w:lang w:val="en-US"/>
        </w:rPr>
        <w:t xml:space="preserve"> </w:t>
      </w:r>
      <w:proofErr w:type="spellStart"/>
      <w:r w:rsidRPr="004C727A">
        <w:rPr>
          <w:i/>
          <w:iCs/>
          <w:lang w:val="en-US"/>
        </w:rPr>
        <w:t>beleggingsbeleid</w:t>
      </w:r>
      <w:proofErr w:type="spellEnd"/>
      <w:r w:rsidRPr="004C727A">
        <w:rPr>
          <w:i/>
          <w:iCs/>
          <w:lang w:val="en-US"/>
        </w:rPr>
        <w:t xml:space="preserve"> </w:t>
      </w:r>
      <w:proofErr w:type="spellStart"/>
      <w:r w:rsidRPr="004C727A">
        <w:rPr>
          <w:i/>
          <w:iCs/>
          <w:lang w:val="en-US"/>
        </w:rPr>
        <w:t>en</w:t>
      </w:r>
      <w:proofErr w:type="spellEnd"/>
      <w:r w:rsidRPr="004C727A">
        <w:rPr>
          <w:i/>
          <w:iCs/>
          <w:lang w:val="en-US"/>
        </w:rPr>
        <w:t xml:space="preserve"> SFDR-</w:t>
      </w:r>
      <w:proofErr w:type="spellStart"/>
      <w:r w:rsidRPr="004C727A">
        <w:rPr>
          <w:i/>
          <w:iCs/>
          <w:lang w:val="en-US"/>
        </w:rPr>
        <w:t>artikel</w:t>
      </w:r>
      <w:proofErr w:type="spellEnd"/>
      <w:r w:rsidRPr="004C727A">
        <w:rPr>
          <w:i/>
          <w:iCs/>
          <w:lang w:val="en-US"/>
        </w:rPr>
        <w:t xml:space="preserve"> 9.</w:t>
      </w:r>
      <w:r w:rsidRPr="004C727A">
        <w:rPr>
          <w:lang w:val="en-US"/>
        </w:rPr>
        <w:br/>
      </w:r>
      <w:hyperlink r:id="rId37" w:tgtFrame="_new" w:history="1">
        <w:r w:rsidRPr="004C727A">
          <w:rPr>
            <w:rStyle w:val="Hyperlink"/>
            <w:lang w:val="en-US"/>
          </w:rPr>
          <w:t>https://www.triodos.nl/beleggen/global-equities-impact-fund/LU0785617423</w:t>
        </w:r>
      </w:hyperlink>
    </w:p>
    <w:p w14:paraId="5E61EF0A" w14:textId="77777777" w:rsidR="004C727A" w:rsidRPr="004C727A" w:rsidRDefault="004C727A" w:rsidP="004C727A">
      <w:proofErr w:type="spellStart"/>
      <w:r w:rsidRPr="004C727A">
        <w:rPr>
          <w:lang w:val="en-US"/>
        </w:rPr>
        <w:t>Triodos</w:t>
      </w:r>
      <w:proofErr w:type="spellEnd"/>
      <w:r w:rsidRPr="004C727A">
        <w:rPr>
          <w:lang w:val="en-US"/>
        </w:rPr>
        <w:t xml:space="preserve"> Investment Management. (2025b). </w:t>
      </w:r>
      <w:proofErr w:type="spellStart"/>
      <w:r w:rsidRPr="004C727A">
        <w:rPr>
          <w:i/>
          <w:iCs/>
          <w:lang w:val="en-US"/>
        </w:rPr>
        <w:t>Triodos</w:t>
      </w:r>
      <w:proofErr w:type="spellEnd"/>
      <w:r w:rsidRPr="004C727A">
        <w:rPr>
          <w:i/>
          <w:iCs/>
          <w:lang w:val="en-US"/>
        </w:rPr>
        <w:t xml:space="preserve"> SICAV I: Semi-annual report 2025.</w:t>
      </w:r>
      <w:r w:rsidRPr="004C727A">
        <w:rPr>
          <w:lang w:val="en-US"/>
        </w:rPr>
        <w:br/>
      </w:r>
      <w:hyperlink r:id="rId38" w:tgtFrame="_new" w:history="1">
        <w:r w:rsidRPr="004C727A">
          <w:rPr>
            <w:rStyle w:val="Hyperlink"/>
          </w:rPr>
          <w:t>https://www.triodos-im.com/</w:t>
        </w:r>
      </w:hyperlink>
    </w:p>
    <w:p w14:paraId="6E1C3E87" w14:textId="77777777" w:rsidR="004C727A" w:rsidRPr="004C727A" w:rsidRDefault="004C727A" w:rsidP="004C727A">
      <w:r w:rsidRPr="004C727A">
        <w:t xml:space="preserve">Triodos Investment Management. (2025c). </w:t>
      </w:r>
      <w:r w:rsidRPr="004C727A">
        <w:rPr>
          <w:i/>
          <w:iCs/>
        </w:rPr>
        <w:t xml:space="preserve">Triodos Energy </w:t>
      </w:r>
      <w:proofErr w:type="spellStart"/>
      <w:r w:rsidRPr="004C727A">
        <w:rPr>
          <w:i/>
          <w:iCs/>
        </w:rPr>
        <w:t>Transition</w:t>
      </w:r>
      <w:proofErr w:type="spellEnd"/>
      <w:r w:rsidRPr="004C727A">
        <w:rPr>
          <w:i/>
          <w:iCs/>
        </w:rPr>
        <w:t xml:space="preserve"> Europe Fund: Rendement, kosten en risicoklasse.</w:t>
      </w:r>
      <w:r w:rsidRPr="004C727A">
        <w:br/>
      </w:r>
      <w:hyperlink r:id="rId39" w:tgtFrame="_new" w:history="1">
        <w:r w:rsidRPr="004C727A">
          <w:rPr>
            <w:rStyle w:val="Hyperlink"/>
          </w:rPr>
          <w:t>https://www.triodos-im.com/</w:t>
        </w:r>
      </w:hyperlink>
    </w:p>
    <w:p w14:paraId="4C97B076" w14:textId="77777777" w:rsidR="004C727A" w:rsidRPr="004C727A" w:rsidRDefault="004C727A" w:rsidP="004C727A">
      <w:proofErr w:type="spellStart"/>
      <w:r w:rsidRPr="004C727A">
        <w:t>Vanguard</w:t>
      </w:r>
      <w:proofErr w:type="spellEnd"/>
      <w:r w:rsidRPr="004C727A">
        <w:t xml:space="preserve"> AG. (2025, 3 juli). </w:t>
      </w:r>
      <w:r w:rsidRPr="004C727A">
        <w:rPr>
          <w:i/>
          <w:iCs/>
        </w:rPr>
        <w:t xml:space="preserve">Duurzaamheid – </w:t>
      </w:r>
      <w:proofErr w:type="spellStart"/>
      <w:r w:rsidRPr="004C727A">
        <w:rPr>
          <w:i/>
          <w:iCs/>
        </w:rPr>
        <w:t>Vanguard</w:t>
      </w:r>
      <w:proofErr w:type="spellEnd"/>
      <w:r w:rsidRPr="004C727A">
        <w:rPr>
          <w:i/>
          <w:iCs/>
        </w:rPr>
        <w:t xml:space="preserve"> AG.</w:t>
      </w:r>
      <w:r w:rsidRPr="004C727A">
        <w:br/>
      </w:r>
      <w:hyperlink r:id="rId40" w:tgtFrame="_new" w:history="1">
        <w:r w:rsidRPr="004C727A">
          <w:rPr>
            <w:rStyle w:val="Hyperlink"/>
          </w:rPr>
          <w:t>https://www.vanguard.de/nl/over-ons/duurzaamheid/</w:t>
        </w:r>
      </w:hyperlink>
    </w:p>
    <w:p w14:paraId="068BD1CA" w14:textId="58C51582" w:rsidR="00E03574" w:rsidRPr="003B6A22" w:rsidRDefault="00E03574" w:rsidP="00384B74"/>
    <w:sectPr w:rsidR="00E03574" w:rsidRPr="003B6A22">
      <w:foot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361F" w14:textId="77777777" w:rsidR="00BC580B" w:rsidRDefault="00BC580B" w:rsidP="0009559B">
      <w:pPr>
        <w:spacing w:after="0" w:line="240" w:lineRule="auto"/>
      </w:pPr>
      <w:r>
        <w:separator/>
      </w:r>
    </w:p>
  </w:endnote>
  <w:endnote w:type="continuationSeparator" w:id="0">
    <w:p w14:paraId="4A0F00D6" w14:textId="77777777" w:rsidR="00BC580B" w:rsidRDefault="00BC580B" w:rsidP="00095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922691"/>
      <w:docPartObj>
        <w:docPartGallery w:val="Page Numbers (Bottom of Page)"/>
        <w:docPartUnique/>
      </w:docPartObj>
    </w:sdtPr>
    <w:sdtContent>
      <w:p w14:paraId="6E91F5FE" w14:textId="214CA1AC" w:rsidR="0009559B" w:rsidRDefault="0009559B">
        <w:pPr>
          <w:pStyle w:val="Footer"/>
          <w:jc w:val="right"/>
        </w:pPr>
        <w:r>
          <w:fldChar w:fldCharType="begin"/>
        </w:r>
        <w:r>
          <w:instrText>PAGE   \* MERGEFORMAT</w:instrText>
        </w:r>
        <w:r>
          <w:fldChar w:fldCharType="separate"/>
        </w:r>
        <w:r>
          <w:t>2</w:t>
        </w:r>
        <w:r>
          <w:fldChar w:fldCharType="end"/>
        </w:r>
      </w:p>
    </w:sdtContent>
  </w:sdt>
  <w:p w14:paraId="0D9F0D18" w14:textId="77777777" w:rsidR="0009559B" w:rsidRDefault="00095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E340" w14:textId="77777777" w:rsidR="00BC580B" w:rsidRDefault="00BC580B" w:rsidP="0009559B">
      <w:pPr>
        <w:spacing w:after="0" w:line="240" w:lineRule="auto"/>
      </w:pPr>
      <w:r>
        <w:separator/>
      </w:r>
    </w:p>
  </w:footnote>
  <w:footnote w:type="continuationSeparator" w:id="0">
    <w:p w14:paraId="71B709A5" w14:textId="77777777" w:rsidR="00BC580B" w:rsidRDefault="00BC580B" w:rsidP="000955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6DA1"/>
    <w:multiLevelType w:val="hybridMultilevel"/>
    <w:tmpl w:val="FE500D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F11DCC"/>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378E4"/>
    <w:multiLevelType w:val="multilevel"/>
    <w:tmpl w:val="3F8C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B1DE2"/>
    <w:multiLevelType w:val="multilevel"/>
    <w:tmpl w:val="57445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FD77E6"/>
    <w:multiLevelType w:val="multilevel"/>
    <w:tmpl w:val="1CC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62398"/>
    <w:multiLevelType w:val="multilevel"/>
    <w:tmpl w:val="66BE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35182"/>
    <w:multiLevelType w:val="multilevel"/>
    <w:tmpl w:val="4B625846"/>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9B436B"/>
    <w:multiLevelType w:val="hybridMultilevel"/>
    <w:tmpl w:val="A224AE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AC0181B"/>
    <w:multiLevelType w:val="multilevel"/>
    <w:tmpl w:val="F136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2652F"/>
    <w:multiLevelType w:val="hybridMultilevel"/>
    <w:tmpl w:val="2B6EA7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6C172A0"/>
    <w:multiLevelType w:val="multilevel"/>
    <w:tmpl w:val="5B1C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F05FFA"/>
    <w:multiLevelType w:val="hybridMultilevel"/>
    <w:tmpl w:val="CDE0C4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81429218">
    <w:abstractNumId w:val="10"/>
  </w:num>
  <w:num w:numId="2" w16cid:durableId="1328245928">
    <w:abstractNumId w:val="3"/>
  </w:num>
  <w:num w:numId="3" w16cid:durableId="1798570608">
    <w:abstractNumId w:val="6"/>
  </w:num>
  <w:num w:numId="4" w16cid:durableId="1997488445">
    <w:abstractNumId w:val="5"/>
  </w:num>
  <w:num w:numId="5" w16cid:durableId="1707173628">
    <w:abstractNumId w:val="2"/>
  </w:num>
  <w:num w:numId="6" w16cid:durableId="140075269">
    <w:abstractNumId w:val="4"/>
  </w:num>
  <w:num w:numId="7" w16cid:durableId="949239804">
    <w:abstractNumId w:val="8"/>
  </w:num>
  <w:num w:numId="8" w16cid:durableId="704914559">
    <w:abstractNumId w:val="11"/>
  </w:num>
  <w:num w:numId="9" w16cid:durableId="951858349">
    <w:abstractNumId w:val="0"/>
  </w:num>
  <w:num w:numId="10" w16cid:durableId="56518644">
    <w:abstractNumId w:val="7"/>
  </w:num>
  <w:num w:numId="11" w16cid:durableId="147334144">
    <w:abstractNumId w:val="9"/>
  </w:num>
  <w:num w:numId="12" w16cid:durableId="200188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7200CC"/>
    <w:rsid w:val="00003051"/>
    <w:rsid w:val="000273A3"/>
    <w:rsid w:val="0003046F"/>
    <w:rsid w:val="00056B98"/>
    <w:rsid w:val="00071ABC"/>
    <w:rsid w:val="0007262D"/>
    <w:rsid w:val="00073590"/>
    <w:rsid w:val="0007565F"/>
    <w:rsid w:val="00082859"/>
    <w:rsid w:val="00093A39"/>
    <w:rsid w:val="0009559B"/>
    <w:rsid w:val="000B5DB6"/>
    <w:rsid w:val="000B5F58"/>
    <w:rsid w:val="000B6816"/>
    <w:rsid w:val="000D776E"/>
    <w:rsid w:val="000F203D"/>
    <w:rsid w:val="000F2F67"/>
    <w:rsid w:val="00106734"/>
    <w:rsid w:val="001073CB"/>
    <w:rsid w:val="00125643"/>
    <w:rsid w:val="001321DB"/>
    <w:rsid w:val="00162DCF"/>
    <w:rsid w:val="001679E0"/>
    <w:rsid w:val="001913AA"/>
    <w:rsid w:val="001C2028"/>
    <w:rsid w:val="001D51BF"/>
    <w:rsid w:val="00211320"/>
    <w:rsid w:val="002239F1"/>
    <w:rsid w:val="00227A0D"/>
    <w:rsid w:val="00235BE9"/>
    <w:rsid w:val="0026093F"/>
    <w:rsid w:val="002A7269"/>
    <w:rsid w:val="002B7629"/>
    <w:rsid w:val="002C3869"/>
    <w:rsid w:val="002C6BD1"/>
    <w:rsid w:val="002E7EB4"/>
    <w:rsid w:val="003028AB"/>
    <w:rsid w:val="0031555D"/>
    <w:rsid w:val="00351EF5"/>
    <w:rsid w:val="00353700"/>
    <w:rsid w:val="00360414"/>
    <w:rsid w:val="0037523B"/>
    <w:rsid w:val="00384B74"/>
    <w:rsid w:val="003B6A22"/>
    <w:rsid w:val="003E113C"/>
    <w:rsid w:val="003F0F12"/>
    <w:rsid w:val="004069A3"/>
    <w:rsid w:val="00415C3D"/>
    <w:rsid w:val="00420AA6"/>
    <w:rsid w:val="00423356"/>
    <w:rsid w:val="004444C6"/>
    <w:rsid w:val="004913DF"/>
    <w:rsid w:val="0049417B"/>
    <w:rsid w:val="004B0B18"/>
    <w:rsid w:val="004C727A"/>
    <w:rsid w:val="004F2572"/>
    <w:rsid w:val="004F7A9F"/>
    <w:rsid w:val="0050047C"/>
    <w:rsid w:val="005038C8"/>
    <w:rsid w:val="005065BE"/>
    <w:rsid w:val="00532D2D"/>
    <w:rsid w:val="005376D1"/>
    <w:rsid w:val="0054754C"/>
    <w:rsid w:val="00576739"/>
    <w:rsid w:val="0057776D"/>
    <w:rsid w:val="00586C4D"/>
    <w:rsid w:val="00592DBC"/>
    <w:rsid w:val="005A3E59"/>
    <w:rsid w:val="00622E35"/>
    <w:rsid w:val="00622EC0"/>
    <w:rsid w:val="00643660"/>
    <w:rsid w:val="00661912"/>
    <w:rsid w:val="0068107C"/>
    <w:rsid w:val="006824D3"/>
    <w:rsid w:val="00713F2B"/>
    <w:rsid w:val="007213A4"/>
    <w:rsid w:val="007229A6"/>
    <w:rsid w:val="007434D0"/>
    <w:rsid w:val="00776D15"/>
    <w:rsid w:val="0078022F"/>
    <w:rsid w:val="007A179A"/>
    <w:rsid w:val="007A3030"/>
    <w:rsid w:val="007A325C"/>
    <w:rsid w:val="007D0490"/>
    <w:rsid w:val="007D644C"/>
    <w:rsid w:val="00807D80"/>
    <w:rsid w:val="00832543"/>
    <w:rsid w:val="008B7FF1"/>
    <w:rsid w:val="008D7084"/>
    <w:rsid w:val="008F021C"/>
    <w:rsid w:val="00901F00"/>
    <w:rsid w:val="009175E5"/>
    <w:rsid w:val="00925F8E"/>
    <w:rsid w:val="00942B0E"/>
    <w:rsid w:val="009451FA"/>
    <w:rsid w:val="00954CC1"/>
    <w:rsid w:val="0099335D"/>
    <w:rsid w:val="009A704A"/>
    <w:rsid w:val="009B4AEF"/>
    <w:rsid w:val="009C5D44"/>
    <w:rsid w:val="00A068F3"/>
    <w:rsid w:val="00A24CA9"/>
    <w:rsid w:val="00A3590A"/>
    <w:rsid w:val="00A4024C"/>
    <w:rsid w:val="00A52FC1"/>
    <w:rsid w:val="00A675A4"/>
    <w:rsid w:val="00A70BD7"/>
    <w:rsid w:val="00AA235A"/>
    <w:rsid w:val="00AC29BC"/>
    <w:rsid w:val="00B00C7E"/>
    <w:rsid w:val="00B046B1"/>
    <w:rsid w:val="00B07164"/>
    <w:rsid w:val="00B12338"/>
    <w:rsid w:val="00B20E7B"/>
    <w:rsid w:val="00B27BEB"/>
    <w:rsid w:val="00B4508C"/>
    <w:rsid w:val="00B47B45"/>
    <w:rsid w:val="00B812AA"/>
    <w:rsid w:val="00B82272"/>
    <w:rsid w:val="00BB28A8"/>
    <w:rsid w:val="00BC0102"/>
    <w:rsid w:val="00BC2B00"/>
    <w:rsid w:val="00BC580B"/>
    <w:rsid w:val="00BC5A26"/>
    <w:rsid w:val="00BF234B"/>
    <w:rsid w:val="00C0712D"/>
    <w:rsid w:val="00C24797"/>
    <w:rsid w:val="00C41058"/>
    <w:rsid w:val="00C56B8C"/>
    <w:rsid w:val="00C57DD2"/>
    <w:rsid w:val="00C934F3"/>
    <w:rsid w:val="00CA1A30"/>
    <w:rsid w:val="00CD3F9E"/>
    <w:rsid w:val="00D1738F"/>
    <w:rsid w:val="00D46FCC"/>
    <w:rsid w:val="00D550FF"/>
    <w:rsid w:val="00D55413"/>
    <w:rsid w:val="00D61E37"/>
    <w:rsid w:val="00D7265D"/>
    <w:rsid w:val="00D92BE7"/>
    <w:rsid w:val="00DA2C80"/>
    <w:rsid w:val="00DA77E6"/>
    <w:rsid w:val="00DC7246"/>
    <w:rsid w:val="00DD1296"/>
    <w:rsid w:val="00DD2719"/>
    <w:rsid w:val="00DF34C0"/>
    <w:rsid w:val="00E03574"/>
    <w:rsid w:val="00E059C6"/>
    <w:rsid w:val="00E23537"/>
    <w:rsid w:val="00E24ACA"/>
    <w:rsid w:val="00E2516E"/>
    <w:rsid w:val="00E26EA1"/>
    <w:rsid w:val="00E34561"/>
    <w:rsid w:val="00E464B2"/>
    <w:rsid w:val="00E51732"/>
    <w:rsid w:val="00E74B29"/>
    <w:rsid w:val="00E80822"/>
    <w:rsid w:val="00E85034"/>
    <w:rsid w:val="00E867CB"/>
    <w:rsid w:val="00ED14B1"/>
    <w:rsid w:val="00EF4227"/>
    <w:rsid w:val="00EF6C2A"/>
    <w:rsid w:val="00EF7A7B"/>
    <w:rsid w:val="00F15968"/>
    <w:rsid w:val="00F2741E"/>
    <w:rsid w:val="00F4291B"/>
    <w:rsid w:val="00F44D66"/>
    <w:rsid w:val="00F55427"/>
    <w:rsid w:val="00F5733B"/>
    <w:rsid w:val="00F608F8"/>
    <w:rsid w:val="00F835B2"/>
    <w:rsid w:val="00F97BD2"/>
    <w:rsid w:val="00FA55E4"/>
    <w:rsid w:val="00FD6C78"/>
    <w:rsid w:val="00FF6ED3"/>
    <w:rsid w:val="0ADDAD7C"/>
    <w:rsid w:val="158E978C"/>
    <w:rsid w:val="162A4C99"/>
    <w:rsid w:val="1BFD3763"/>
    <w:rsid w:val="1C7200CC"/>
    <w:rsid w:val="1D54BF5D"/>
    <w:rsid w:val="22DF595A"/>
    <w:rsid w:val="2476892D"/>
    <w:rsid w:val="27C94923"/>
    <w:rsid w:val="367DE3B7"/>
    <w:rsid w:val="3E6682A3"/>
    <w:rsid w:val="41A2E314"/>
    <w:rsid w:val="4940923C"/>
    <w:rsid w:val="50DEA720"/>
    <w:rsid w:val="50E5B1F4"/>
    <w:rsid w:val="6B8211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00CC"/>
  <w15:chartTrackingRefBased/>
  <w15:docId w15:val="{96AEE0AB-1BC7-4D50-9D3B-D30C05CB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rsid w:val="00106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55E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link w:val="Heading3Char"/>
    <w:uiPriority w:val="9"/>
    <w:unhideWhenUsed/>
    <w:qFormat/>
    <w:rsid w:val="00106734"/>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734"/>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rsid w:val="00106734"/>
    <w:rPr>
      <w:rFonts w:eastAsiaTheme="majorEastAsia" w:cstheme="majorBidi"/>
      <w:color w:val="0F4761" w:themeColor="accent1" w:themeShade="BF"/>
      <w:sz w:val="28"/>
      <w:szCs w:val="28"/>
    </w:rPr>
  </w:style>
  <w:style w:type="character" w:styleId="Hyperlink">
    <w:name w:val="Hyperlink"/>
    <w:basedOn w:val="DefaultParagraphFont"/>
    <w:uiPriority w:val="99"/>
    <w:unhideWhenUsed/>
    <w:rsid w:val="00E80822"/>
    <w:rPr>
      <w:color w:val="467886" w:themeColor="hyperlink"/>
      <w:u w:val="single"/>
    </w:rPr>
  </w:style>
  <w:style w:type="character" w:styleId="UnresolvedMention">
    <w:name w:val="Unresolved Mention"/>
    <w:basedOn w:val="DefaultParagraphFont"/>
    <w:uiPriority w:val="99"/>
    <w:semiHidden/>
    <w:unhideWhenUsed/>
    <w:rsid w:val="00E80822"/>
    <w:rPr>
      <w:color w:val="605E5C"/>
      <w:shd w:val="clear" w:color="auto" w:fill="E1DFDD"/>
    </w:rPr>
  </w:style>
  <w:style w:type="character" w:customStyle="1" w:styleId="Heading2Char">
    <w:name w:val="Heading 2 Char"/>
    <w:basedOn w:val="DefaultParagraphFont"/>
    <w:link w:val="Heading2"/>
    <w:uiPriority w:val="9"/>
    <w:rsid w:val="00FA55E4"/>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0B5F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F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F58"/>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B5F58"/>
    <w:rPr>
      <w:rFonts w:eastAsiaTheme="minorEastAsia"/>
      <w:color w:val="5A5A5A" w:themeColor="text1" w:themeTint="A5"/>
      <w:spacing w:val="15"/>
      <w:sz w:val="22"/>
      <w:szCs w:val="22"/>
    </w:rPr>
  </w:style>
  <w:style w:type="paragraph" w:styleId="TOCHeading">
    <w:name w:val="TOC Heading"/>
    <w:basedOn w:val="Heading1"/>
    <w:next w:val="Normal"/>
    <w:uiPriority w:val="39"/>
    <w:unhideWhenUsed/>
    <w:qFormat/>
    <w:rsid w:val="00056B98"/>
    <w:pPr>
      <w:spacing w:before="240" w:after="0" w:line="259" w:lineRule="auto"/>
      <w:outlineLvl w:val="9"/>
    </w:pPr>
    <w:rPr>
      <w:sz w:val="32"/>
      <w:szCs w:val="32"/>
      <w:lang w:eastAsia="nl-NL"/>
    </w:rPr>
  </w:style>
  <w:style w:type="paragraph" w:styleId="TOC2">
    <w:name w:val="toc 2"/>
    <w:basedOn w:val="Normal"/>
    <w:next w:val="Normal"/>
    <w:autoRedefine/>
    <w:uiPriority w:val="39"/>
    <w:unhideWhenUsed/>
    <w:rsid w:val="00056B98"/>
    <w:pPr>
      <w:spacing w:after="100" w:line="259" w:lineRule="auto"/>
      <w:ind w:left="220"/>
    </w:pPr>
    <w:rPr>
      <w:rFonts w:eastAsiaTheme="minorEastAsia" w:cs="Times New Roman"/>
      <w:sz w:val="22"/>
      <w:szCs w:val="22"/>
      <w:lang w:eastAsia="nl-NL"/>
    </w:rPr>
  </w:style>
  <w:style w:type="paragraph" w:styleId="TOC1">
    <w:name w:val="toc 1"/>
    <w:basedOn w:val="Normal"/>
    <w:next w:val="Normal"/>
    <w:autoRedefine/>
    <w:uiPriority w:val="39"/>
    <w:unhideWhenUsed/>
    <w:rsid w:val="00056B98"/>
    <w:pPr>
      <w:spacing w:after="100" w:line="259" w:lineRule="auto"/>
    </w:pPr>
    <w:rPr>
      <w:rFonts w:eastAsiaTheme="minorEastAsia" w:cs="Times New Roman"/>
      <w:sz w:val="22"/>
      <w:szCs w:val="22"/>
      <w:lang w:eastAsia="nl-NL"/>
    </w:rPr>
  </w:style>
  <w:style w:type="paragraph" w:styleId="TOC3">
    <w:name w:val="toc 3"/>
    <w:basedOn w:val="Normal"/>
    <w:next w:val="Normal"/>
    <w:autoRedefine/>
    <w:uiPriority w:val="39"/>
    <w:unhideWhenUsed/>
    <w:rsid w:val="00056B98"/>
    <w:pPr>
      <w:spacing w:after="100" w:line="259" w:lineRule="auto"/>
      <w:ind w:left="440"/>
    </w:pPr>
    <w:rPr>
      <w:rFonts w:eastAsiaTheme="minorEastAsia" w:cs="Times New Roman"/>
      <w:sz w:val="22"/>
      <w:szCs w:val="22"/>
      <w:lang w:eastAsia="nl-NL"/>
    </w:rPr>
  </w:style>
  <w:style w:type="paragraph" w:styleId="ListParagraph">
    <w:name w:val="List Paragraph"/>
    <w:basedOn w:val="Normal"/>
    <w:uiPriority w:val="34"/>
    <w:qFormat/>
    <w:rsid w:val="00BC0102"/>
    <w:pPr>
      <w:ind w:left="720"/>
      <w:contextualSpacing/>
    </w:pPr>
  </w:style>
  <w:style w:type="paragraph" w:styleId="Header">
    <w:name w:val="header"/>
    <w:basedOn w:val="Normal"/>
    <w:link w:val="HeaderChar"/>
    <w:uiPriority w:val="99"/>
    <w:unhideWhenUsed/>
    <w:rsid w:val="000955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559B"/>
  </w:style>
  <w:style w:type="paragraph" w:styleId="Footer">
    <w:name w:val="footer"/>
    <w:basedOn w:val="Normal"/>
    <w:link w:val="FooterChar"/>
    <w:uiPriority w:val="99"/>
    <w:unhideWhenUsed/>
    <w:rsid w:val="000955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559B"/>
  </w:style>
  <w:style w:type="paragraph" w:styleId="NormalWeb">
    <w:name w:val="Normal (Web)"/>
    <w:basedOn w:val="Normal"/>
    <w:uiPriority w:val="99"/>
    <w:semiHidden/>
    <w:unhideWhenUsed/>
    <w:rsid w:val="00162D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astingdienst.nl/wps/wcm/connect/bldcontentnl/belastingdienst/prive/inkomstenbelasting/heffingskortingen_boxen_tarieven/boxen_en_tarieven/box_3/" TargetMode="External"/><Relationship Id="rId18" Type="http://schemas.openxmlformats.org/officeDocument/2006/relationships/hyperlink" Target="https://www.blackrock.com/uk/individual/products/229299/blackrock-new-energy-a2-usd-fund" TargetMode="External"/><Relationship Id="rId26" Type="http://schemas.openxmlformats.org/officeDocument/2006/relationships/hyperlink" Target="https://www.fidelity.co.uk/" TargetMode="External"/><Relationship Id="rId39" Type="http://schemas.openxmlformats.org/officeDocument/2006/relationships/hyperlink" Target="https://www.triodos-im.com/" TargetMode="External"/><Relationship Id="rId21" Type="http://schemas.openxmlformats.org/officeDocument/2006/relationships/hyperlink" Target="https://docfinder.bnpparibas-am.com/api/files/2ae286f3-f2f9-4b39-b416-473360e0c9a7/512" TargetMode="External"/><Relationship Id="rId34" Type="http://schemas.openxmlformats.org/officeDocument/2006/relationships/hyperlink" Target="https://www.triodos.nl/beleggen/global-equities-impact-fund/LU0785617423"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ackrock.com/uk/individual/products/251882/ishares-msci-world-ucits-etf-acc-fund" TargetMode="External"/><Relationship Id="rId20" Type="http://schemas.openxmlformats.org/officeDocument/2006/relationships/hyperlink" Target="https://www.bnpparibas.nl/nl/corporate-institutional-banking-in-nederland/duurzame-financiering/" TargetMode="External"/><Relationship Id="rId29" Type="http://schemas.openxmlformats.org/officeDocument/2006/relationships/hyperlink" Target="https://global.morningstar.com/"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lianz.com/en/about-us/corporate-management/corporate-governance.html" TargetMode="External"/><Relationship Id="rId24" Type="http://schemas.openxmlformats.org/officeDocument/2006/relationships/hyperlink" Target="https://leasingsolutions.bnpparibas.nl/duurzaamheid/" TargetMode="External"/><Relationship Id="rId32" Type="http://schemas.openxmlformats.org/officeDocument/2006/relationships/hyperlink" Target="https://www.test-aankoop.be/invest/beleggen/fondsen/triodos-global-equities-impact-fund-r" TargetMode="External"/><Relationship Id="rId37" Type="http://schemas.openxmlformats.org/officeDocument/2006/relationships/hyperlink" Target="https://www.triodos.nl/beleggen/global-equities-impact-fund/LU0785617423" TargetMode="External"/><Relationship Id="rId40" Type="http://schemas.openxmlformats.org/officeDocument/2006/relationships/hyperlink" Target="https://www.vanguard.de/nl/over-ons/duurzaamheid/" TargetMode="External"/><Relationship Id="rId5" Type="http://schemas.openxmlformats.org/officeDocument/2006/relationships/webSettings" Target="webSettings.xml"/><Relationship Id="rId15" Type="http://schemas.openxmlformats.org/officeDocument/2006/relationships/hyperlink" Target="https://www.blackrock.com/nl/professionele-beleggers/themas/duurzaam-en-transitiebeleggen" TargetMode="External"/><Relationship Id="rId23" Type="http://schemas.openxmlformats.org/officeDocument/2006/relationships/hyperlink" Target="https://group.bnpparibas/en/group/our-governance" TargetMode="External"/><Relationship Id="rId28" Type="http://schemas.openxmlformats.org/officeDocument/2006/relationships/hyperlink" Target="https://global.morningstar.com/" TargetMode="External"/><Relationship Id="rId36" Type="http://schemas.openxmlformats.org/officeDocument/2006/relationships/hyperlink" Target="https://www.triodos.nl/beleggen/rendement" TargetMode="External"/><Relationship Id="rId10" Type="http://schemas.openxmlformats.org/officeDocument/2006/relationships/hyperlink" Target="https://nl.allianzgi.com/nl-nl/pro/sustainable-investing" TargetMode="External"/><Relationship Id="rId19" Type="http://schemas.openxmlformats.org/officeDocument/2006/relationships/hyperlink" Target="https://www.blackrock.com/lu/individual/literature/fact-sheet/bgf-sustainable-energy-fund-class-a2-usd-factsheet-lu0124384867-lu-en-individual.pdf" TargetMode="External"/><Relationship Id="rId31" Type="http://schemas.openxmlformats.org/officeDocument/2006/relationships/hyperlink" Target="https://www.rijksoverheid.nl/onderwerpen/duurzame-economie/vraag-en-antwoord/groen-sparen-in-een-groenfonds" TargetMode="External"/><Relationship Id="rId4" Type="http://schemas.openxmlformats.org/officeDocument/2006/relationships/settings" Target="settings.xml"/><Relationship Id="rId9" Type="http://schemas.openxmlformats.org/officeDocument/2006/relationships/hyperlink" Target="https://nl.allianzgi.com/nl-nl/pro/sustainable-investing/focus-funds/allianz-global-sustainability" TargetMode="External"/><Relationship Id="rId14" Type="http://schemas.openxmlformats.org/officeDocument/2006/relationships/hyperlink" Target="https://www.belastingdienst.nl/wps/wcm/connect/bldcontentnl/belastingdienst/prive/vermogen_en_aanmerkelijk_belang/vermogen/beleggen_met_belastingvoordeel/groene_beleggingen" TargetMode="External"/><Relationship Id="rId22" Type="http://schemas.openxmlformats.org/officeDocument/2006/relationships/hyperlink" Target="https://www.bnpparibasfortis.be/nl/public/particulieren/sparen-en-beleggen/investeren/starten" TargetMode="External"/><Relationship Id="rId27" Type="http://schemas.openxmlformats.org/officeDocument/2006/relationships/hyperlink" Target="https://www.justetf.com/" TargetMode="External"/><Relationship Id="rId30" Type="http://schemas.openxmlformats.org/officeDocument/2006/relationships/hyperlink" Target="https://global.morningstar.com/nl/beleggingen/fondsen/F00000PXHW/quote" TargetMode="External"/><Relationship Id="rId35" Type="http://schemas.openxmlformats.org/officeDocument/2006/relationships/hyperlink" Target="https://www.triodos.nl/beleggen/impact-in-cijfers"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banken.nl" TargetMode="External"/><Relationship Id="rId17" Type="http://schemas.openxmlformats.org/officeDocument/2006/relationships/hyperlink" Target="https://www.blackrock.com/lu/individual/products/229299/blackrock-new-energy-a2-usd-fund" TargetMode="External"/><Relationship Id="rId25" Type="http://schemas.openxmlformats.org/officeDocument/2006/relationships/hyperlink" Target="https://www.brightpensioen.nl/pensioen/fiscaal-vriendelijk-pensioenopbouwen/" TargetMode="External"/><Relationship Id="rId33" Type="http://schemas.openxmlformats.org/officeDocument/2006/relationships/hyperlink" Target="https://www.triodos.nl/beleggen/energy-transition-europe-fund/NL0013908700" TargetMode="External"/><Relationship Id="rId38" Type="http://schemas.openxmlformats.org/officeDocument/2006/relationships/hyperlink" Target="https://www.triodos-i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FCCB7-E010-4BC1-83E1-42BFA9AE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9699</Words>
  <Characters>55290</Characters>
  <Application>Microsoft Office Word</Application>
  <DocSecurity>4</DocSecurity>
  <Lines>460</Lines>
  <Paragraphs>129</Paragraphs>
  <ScaleCrop>false</ScaleCrop>
  <Company/>
  <LinksUpToDate>false</LinksUpToDate>
  <CharactersWithSpaces>64860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Munster, Quinn van</dc:creator>
  <cp:keywords/>
  <dc:description/>
  <cp:lastModifiedBy>Munster, Quinn van</cp:lastModifiedBy>
  <cp:revision>128</cp:revision>
  <dcterms:created xsi:type="dcterms:W3CDTF">2025-11-09T05:57:00Z</dcterms:created>
  <dcterms:modified xsi:type="dcterms:W3CDTF">2026-01-04T19:05:00Z</dcterms:modified>
</cp:coreProperties>
</file>